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3456"/>
        <w:gridCol w:w="5054"/>
        <w:gridCol w:w="15"/>
      </w:tblGrid>
      <w:tr w:rsidR="00C119A2" w:rsidRPr="007D7E0B" w:rsidTr="00AD6D80">
        <w:tc>
          <w:tcPr>
            <w:tcW w:w="8525" w:type="dxa"/>
            <w:gridSpan w:val="3"/>
            <w:tcBorders>
              <w:bottom w:val="single" w:sz="18" w:space="0" w:color="auto"/>
            </w:tcBorders>
          </w:tcPr>
          <w:p w:rsidR="00C119A2" w:rsidRDefault="00C119A2" w:rsidP="00AD6D80">
            <w:pPr>
              <w:pStyle w:val="Infotext"/>
              <w:rPr>
                <w:rFonts w:ascii="Arial Black" w:hAnsi="Arial Black"/>
                <w:color w:val="999999"/>
                <w:sz w:val="36"/>
                <w:szCs w:val="36"/>
              </w:rPr>
            </w:pPr>
          </w:p>
          <w:p w:rsidR="00C119A2" w:rsidRDefault="00632863" w:rsidP="00AD6D80">
            <w:pPr>
              <w:pStyle w:val="Infotext"/>
              <w:rPr>
                <w:rFonts w:ascii="Arial Black" w:hAnsi="Arial Black"/>
                <w:color w:val="999999"/>
                <w:sz w:val="36"/>
                <w:szCs w:val="36"/>
              </w:rPr>
            </w:pPr>
            <w:r>
              <w:rPr>
                <w:rFonts w:ascii="Arial Black" w:hAnsi="Arial Black"/>
                <w:noProof/>
                <w:color w:val="999999"/>
                <w:sz w:val="36"/>
                <w:szCs w:val="36"/>
                <w:lang w:eastAsia="en-GB"/>
              </w:rPr>
              <w:drawing>
                <wp:anchor distT="0" distB="0" distL="114300" distR="114300" simplePos="0" relativeHeight="251657728" behindDoc="0" locked="0" layoutInCell="1" allowOverlap="1" wp14:anchorId="32CBADF6" wp14:editId="32CBADF7">
                  <wp:simplePos x="0" y="0"/>
                  <wp:positionH relativeFrom="margin">
                    <wp:posOffset>-59055</wp:posOffset>
                  </wp:positionH>
                  <wp:positionV relativeFrom="margin">
                    <wp:posOffset>89535</wp:posOffset>
                  </wp:positionV>
                  <wp:extent cx="2009775" cy="495935"/>
                  <wp:effectExtent l="0" t="0" r="9525" b="0"/>
                  <wp:wrapSquare wrapText="bothSides"/>
                  <wp:docPr id="4" name="Picture 4" descr="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row Council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14:sizeRelH relativeFrom="page">
                    <wp14:pctWidth>0</wp14:pctWidth>
                  </wp14:sizeRelH>
                  <wp14:sizeRelV relativeFrom="page">
                    <wp14:pctHeight>0</wp14:pctHeight>
                  </wp14:sizeRelV>
                </wp:anchor>
              </w:drawing>
            </w:r>
          </w:p>
          <w:p w:rsidR="00C119A2" w:rsidRDefault="00C119A2" w:rsidP="00AD6D80">
            <w:pPr>
              <w:pStyle w:val="Infotext"/>
              <w:rPr>
                <w:rFonts w:ascii="Arial Black" w:hAnsi="Arial Black" w:cs="Arial"/>
                <w:sz w:val="36"/>
                <w:szCs w:val="36"/>
              </w:rPr>
            </w:pPr>
          </w:p>
        </w:tc>
      </w:tr>
      <w:tr w:rsidR="002F11BF">
        <w:trPr>
          <w:gridAfter w:val="1"/>
          <w:wAfter w:w="15" w:type="dxa"/>
        </w:trPr>
        <w:tc>
          <w:tcPr>
            <w:tcW w:w="3456" w:type="dxa"/>
            <w:tcBorders>
              <w:bottom w:val="single" w:sz="18" w:space="0" w:color="auto"/>
            </w:tcBorders>
          </w:tcPr>
          <w:p w:rsidR="00333FAA" w:rsidRPr="00B805DB" w:rsidRDefault="00333FAA" w:rsidP="00A53B04">
            <w:pPr>
              <w:pStyle w:val="Infotext"/>
              <w:rPr>
                <w:rFonts w:ascii="Arial Black" w:hAnsi="Arial Black"/>
                <w:color w:val="999999"/>
                <w:sz w:val="36"/>
                <w:szCs w:val="36"/>
              </w:rPr>
            </w:pPr>
            <w:r w:rsidRPr="00B805DB">
              <w:rPr>
                <w:rFonts w:ascii="Arial Black" w:hAnsi="Arial Black"/>
                <w:color w:val="999999"/>
                <w:sz w:val="36"/>
                <w:szCs w:val="36"/>
              </w:rPr>
              <w:t>REPORT FOR:</w:t>
            </w:r>
          </w:p>
          <w:p w:rsidR="00333FAA" w:rsidRPr="00B805DB" w:rsidRDefault="00333FAA" w:rsidP="00A53B04">
            <w:pPr>
              <w:pStyle w:val="Infotext"/>
              <w:rPr>
                <w:rFonts w:ascii="Arial Black" w:hAnsi="Arial Black" w:cs="Arial"/>
                <w:sz w:val="36"/>
                <w:szCs w:val="36"/>
              </w:rPr>
            </w:pPr>
          </w:p>
        </w:tc>
        <w:tc>
          <w:tcPr>
            <w:tcW w:w="5054" w:type="dxa"/>
            <w:tcBorders>
              <w:bottom w:val="single" w:sz="18" w:space="0" w:color="auto"/>
            </w:tcBorders>
          </w:tcPr>
          <w:p w:rsidR="00333FAA" w:rsidRPr="005E3A10" w:rsidRDefault="00333FAA" w:rsidP="00A53B04">
            <w:pPr>
              <w:rPr>
                <w:rFonts w:ascii="Arial Black" w:hAnsi="Arial Black" w:cs="Arial"/>
                <w:sz w:val="36"/>
                <w:szCs w:val="36"/>
              </w:rPr>
            </w:pPr>
            <w:r w:rsidRPr="005E3A10">
              <w:rPr>
                <w:rFonts w:ascii="Arial Black" w:hAnsi="Arial Black" w:cs="Arial"/>
                <w:sz w:val="36"/>
                <w:szCs w:val="36"/>
              </w:rPr>
              <w:t>CABINET</w:t>
            </w:r>
          </w:p>
          <w:p w:rsidR="00333FAA" w:rsidRPr="005E3A10" w:rsidRDefault="00333FAA" w:rsidP="00A53B04">
            <w:pPr>
              <w:rPr>
                <w:rFonts w:ascii="Arial Black" w:hAnsi="Arial Black" w:cs="Arial"/>
                <w:szCs w:val="24"/>
              </w:rPr>
            </w:pPr>
          </w:p>
        </w:tc>
      </w:tr>
      <w:tr w:rsidR="002F11BF">
        <w:trPr>
          <w:gridAfter w:val="1"/>
          <w:wAfter w:w="15" w:type="dxa"/>
        </w:trPr>
        <w:tc>
          <w:tcPr>
            <w:tcW w:w="3456" w:type="dxa"/>
            <w:tcBorders>
              <w:top w:val="single" w:sz="18" w:space="0" w:color="auto"/>
            </w:tcBorders>
          </w:tcPr>
          <w:p w:rsidR="00333FAA" w:rsidRPr="00C13A5F" w:rsidRDefault="00333FAA" w:rsidP="00A53B04">
            <w:pPr>
              <w:pStyle w:val="Infotext"/>
              <w:rPr>
                <w:rFonts w:ascii="Arial Black" w:hAnsi="Arial Black"/>
              </w:rPr>
            </w:pPr>
            <w:r w:rsidRPr="00C13A5F">
              <w:rPr>
                <w:rFonts w:ascii="Arial Black" w:hAnsi="Arial Black"/>
              </w:rPr>
              <w:t>Date</w:t>
            </w:r>
            <w:r>
              <w:rPr>
                <w:rFonts w:ascii="Arial Black" w:hAnsi="Arial Black"/>
              </w:rPr>
              <w:t xml:space="preserve"> of Meeting</w:t>
            </w:r>
            <w:r w:rsidRPr="00C13A5F">
              <w:rPr>
                <w:rFonts w:ascii="Arial Black" w:hAnsi="Arial Black"/>
              </w:rPr>
              <w:t>:</w:t>
            </w:r>
          </w:p>
          <w:p w:rsidR="00333FAA" w:rsidRPr="00C13A5F" w:rsidRDefault="00333FAA" w:rsidP="00A53B04">
            <w:pPr>
              <w:pStyle w:val="Infotext"/>
              <w:rPr>
                <w:rFonts w:ascii="Arial Black" w:hAnsi="Arial Black" w:cs="Arial"/>
              </w:rPr>
            </w:pPr>
          </w:p>
        </w:tc>
        <w:tc>
          <w:tcPr>
            <w:tcW w:w="5054" w:type="dxa"/>
            <w:tcBorders>
              <w:top w:val="single" w:sz="18" w:space="0" w:color="auto"/>
            </w:tcBorders>
          </w:tcPr>
          <w:tbl>
            <w:tblPr>
              <w:tblW w:w="0" w:type="auto"/>
              <w:tblLook w:val="0000" w:firstRow="0" w:lastRow="0" w:firstColumn="0" w:lastColumn="0" w:noHBand="0" w:noVBand="0"/>
            </w:tblPr>
            <w:tblGrid>
              <w:gridCol w:w="4838"/>
            </w:tblGrid>
            <w:tr w:rsidR="00632863" w:rsidRPr="005E3A10" w:rsidTr="00F41CA2">
              <w:tc>
                <w:tcPr>
                  <w:tcW w:w="5054" w:type="dxa"/>
                  <w:tcBorders>
                    <w:top w:val="single" w:sz="18" w:space="0" w:color="auto"/>
                  </w:tcBorders>
                </w:tcPr>
                <w:p w:rsidR="00632863" w:rsidRPr="005E3A10" w:rsidRDefault="00610F06" w:rsidP="00104C76">
                  <w:pPr>
                    <w:rPr>
                      <w:rFonts w:cs="Arial"/>
                      <w:szCs w:val="24"/>
                    </w:rPr>
                  </w:pPr>
                  <w:r>
                    <w:rPr>
                      <w:rFonts w:cs="Arial"/>
                      <w:szCs w:val="24"/>
                    </w:rPr>
                    <w:t>19</w:t>
                  </w:r>
                  <w:r w:rsidR="00657736">
                    <w:rPr>
                      <w:rFonts w:cs="Arial"/>
                      <w:szCs w:val="24"/>
                      <w:vertAlign w:val="superscript"/>
                    </w:rPr>
                    <w:t xml:space="preserve"> </w:t>
                  </w:r>
                  <w:r>
                    <w:rPr>
                      <w:rFonts w:cs="Arial"/>
                      <w:szCs w:val="24"/>
                    </w:rPr>
                    <w:t>March 2020</w:t>
                  </w:r>
                </w:p>
              </w:tc>
            </w:tr>
            <w:tr w:rsidR="00632863" w:rsidRPr="005E3A10" w:rsidTr="00F41CA2">
              <w:tc>
                <w:tcPr>
                  <w:tcW w:w="5054" w:type="dxa"/>
                </w:tcPr>
                <w:p w:rsidR="00632863" w:rsidRPr="005E3A10" w:rsidRDefault="00632863" w:rsidP="00F41CA2">
                  <w:pPr>
                    <w:rPr>
                      <w:rFonts w:cs="Arial"/>
                      <w:szCs w:val="24"/>
                    </w:rPr>
                  </w:pPr>
                </w:p>
              </w:tc>
            </w:tr>
            <w:tr w:rsidR="00632863" w:rsidRPr="005E3A10" w:rsidTr="00F41CA2">
              <w:tc>
                <w:tcPr>
                  <w:tcW w:w="5054" w:type="dxa"/>
                </w:tcPr>
                <w:p w:rsidR="00632863" w:rsidRPr="005E3A10" w:rsidRDefault="00632863" w:rsidP="00F41CA2">
                  <w:pPr>
                    <w:pStyle w:val="Infotext"/>
                    <w:rPr>
                      <w:rFonts w:cs="Arial"/>
                      <w:szCs w:val="24"/>
                    </w:rPr>
                  </w:pPr>
                </w:p>
              </w:tc>
            </w:tr>
          </w:tbl>
          <w:p w:rsidR="00333FAA" w:rsidRPr="005E3A10" w:rsidRDefault="00333FAA" w:rsidP="00A53B04">
            <w:pPr>
              <w:rPr>
                <w:rFonts w:cs="Arial"/>
                <w:szCs w:val="24"/>
              </w:rPr>
            </w:pPr>
          </w:p>
        </w:tc>
      </w:tr>
      <w:tr w:rsidR="002F11BF">
        <w:trPr>
          <w:gridAfter w:val="1"/>
          <w:wAfter w:w="15" w:type="dxa"/>
        </w:trPr>
        <w:tc>
          <w:tcPr>
            <w:tcW w:w="3456" w:type="dxa"/>
          </w:tcPr>
          <w:p w:rsidR="00333FAA" w:rsidRPr="00C13A5F" w:rsidRDefault="00333FAA" w:rsidP="00A53B04">
            <w:pPr>
              <w:pStyle w:val="Infotext"/>
              <w:rPr>
                <w:rFonts w:ascii="Arial Black" w:hAnsi="Arial Black" w:cs="Arial"/>
              </w:rPr>
            </w:pPr>
            <w:r w:rsidRPr="00C13A5F">
              <w:rPr>
                <w:rFonts w:ascii="Arial Black" w:hAnsi="Arial Black" w:cs="Arial"/>
              </w:rPr>
              <w:t>Subject:</w:t>
            </w:r>
          </w:p>
          <w:p w:rsidR="00333FAA" w:rsidRPr="00C13A5F" w:rsidRDefault="00333FAA" w:rsidP="00A53B04">
            <w:pPr>
              <w:pStyle w:val="Infotext"/>
              <w:rPr>
                <w:rFonts w:ascii="Arial Black" w:hAnsi="Arial Black"/>
              </w:rPr>
            </w:pPr>
          </w:p>
        </w:tc>
        <w:tc>
          <w:tcPr>
            <w:tcW w:w="5054" w:type="dxa"/>
          </w:tcPr>
          <w:p w:rsidR="00333FAA" w:rsidRPr="005E3A10" w:rsidRDefault="002430D5" w:rsidP="002430D5">
            <w:pPr>
              <w:rPr>
                <w:rFonts w:cs="Arial"/>
                <w:szCs w:val="24"/>
              </w:rPr>
            </w:pPr>
            <w:r>
              <w:rPr>
                <w:rFonts w:cs="Arial"/>
                <w:szCs w:val="24"/>
              </w:rPr>
              <w:t>Council Preparations for Brexit</w:t>
            </w:r>
          </w:p>
        </w:tc>
      </w:tr>
      <w:tr w:rsidR="002F11BF">
        <w:trPr>
          <w:gridAfter w:val="1"/>
          <w:wAfter w:w="15" w:type="dxa"/>
        </w:trPr>
        <w:tc>
          <w:tcPr>
            <w:tcW w:w="3456" w:type="dxa"/>
          </w:tcPr>
          <w:p w:rsidR="00333FAA" w:rsidRPr="00C13A5F" w:rsidRDefault="00333FAA" w:rsidP="00A53B04">
            <w:pPr>
              <w:pStyle w:val="Infotext"/>
              <w:rPr>
                <w:rFonts w:ascii="Arial Black" w:hAnsi="Arial Black" w:cs="Arial"/>
              </w:rPr>
            </w:pPr>
            <w:r w:rsidRPr="00C13A5F">
              <w:rPr>
                <w:rFonts w:ascii="Arial Black" w:hAnsi="Arial Black" w:cs="Arial"/>
              </w:rPr>
              <w:t xml:space="preserve">Key Decision: </w:t>
            </w:r>
          </w:p>
          <w:p w:rsidR="00333FAA" w:rsidRPr="00C13A5F" w:rsidRDefault="00333FAA" w:rsidP="00A53B04">
            <w:pPr>
              <w:pStyle w:val="Infotext"/>
              <w:rPr>
                <w:rFonts w:ascii="Arial Black" w:hAnsi="Arial Black" w:cs="Arial"/>
              </w:rPr>
            </w:pPr>
          </w:p>
        </w:tc>
        <w:tc>
          <w:tcPr>
            <w:tcW w:w="5054" w:type="dxa"/>
          </w:tcPr>
          <w:p w:rsidR="001C7E35" w:rsidRPr="005E3A10" w:rsidRDefault="00610F06" w:rsidP="001C7E35">
            <w:pPr>
              <w:pStyle w:val="Infotext"/>
              <w:rPr>
                <w:rFonts w:cs="Arial"/>
                <w:sz w:val="24"/>
                <w:szCs w:val="24"/>
              </w:rPr>
            </w:pPr>
            <w:r>
              <w:rPr>
                <w:rFonts w:cs="Arial"/>
                <w:sz w:val="24"/>
                <w:szCs w:val="24"/>
              </w:rPr>
              <w:t>No</w:t>
            </w:r>
          </w:p>
          <w:p w:rsidR="00333FAA" w:rsidRPr="005E3A10" w:rsidRDefault="00333FAA" w:rsidP="00632863">
            <w:pPr>
              <w:pStyle w:val="Infotext"/>
              <w:rPr>
                <w:rFonts w:cs="Arial"/>
                <w:szCs w:val="24"/>
              </w:rPr>
            </w:pPr>
            <w:bookmarkStart w:id="0" w:name="_GoBack"/>
            <w:bookmarkEnd w:id="0"/>
          </w:p>
        </w:tc>
      </w:tr>
      <w:tr w:rsidR="002F11BF">
        <w:trPr>
          <w:gridAfter w:val="1"/>
          <w:wAfter w:w="15" w:type="dxa"/>
        </w:trPr>
        <w:tc>
          <w:tcPr>
            <w:tcW w:w="3456" w:type="dxa"/>
          </w:tcPr>
          <w:p w:rsidR="001C7E35" w:rsidRPr="00C13A5F" w:rsidRDefault="001C7E35" w:rsidP="00A53B04">
            <w:pPr>
              <w:pStyle w:val="Infotext"/>
              <w:rPr>
                <w:rFonts w:ascii="Arial Black" w:hAnsi="Arial Black" w:cs="Arial"/>
              </w:rPr>
            </w:pPr>
            <w:r w:rsidRPr="00C13A5F">
              <w:rPr>
                <w:rFonts w:ascii="Arial Black" w:hAnsi="Arial Black" w:cs="Arial"/>
              </w:rPr>
              <w:t>Responsible Officer:</w:t>
            </w:r>
          </w:p>
          <w:p w:rsidR="001C7E35" w:rsidRPr="00C13A5F" w:rsidRDefault="001C7E35" w:rsidP="00A53B04">
            <w:pPr>
              <w:pStyle w:val="Infotext"/>
              <w:rPr>
                <w:rFonts w:ascii="Arial Black" w:hAnsi="Arial Black" w:cs="Arial"/>
              </w:rPr>
            </w:pPr>
          </w:p>
        </w:tc>
        <w:tc>
          <w:tcPr>
            <w:tcW w:w="5054" w:type="dxa"/>
          </w:tcPr>
          <w:p w:rsidR="00632863" w:rsidRPr="005E3A10" w:rsidRDefault="00632863" w:rsidP="00632863">
            <w:pPr>
              <w:pStyle w:val="Infotext"/>
              <w:rPr>
                <w:rFonts w:cs="Arial"/>
                <w:sz w:val="24"/>
                <w:szCs w:val="24"/>
              </w:rPr>
            </w:pPr>
            <w:r>
              <w:rPr>
                <w:rFonts w:cs="Arial"/>
                <w:sz w:val="24"/>
                <w:szCs w:val="24"/>
              </w:rPr>
              <w:t xml:space="preserve">Alex </w:t>
            </w:r>
            <w:r w:rsidRPr="001D004B">
              <w:rPr>
                <w:rFonts w:cs="Arial"/>
                <w:sz w:val="24"/>
                <w:szCs w:val="24"/>
              </w:rPr>
              <w:t>Dewsnap, Director of Strategy</w:t>
            </w:r>
            <w:r w:rsidR="00610F06">
              <w:rPr>
                <w:rFonts w:cs="Arial"/>
                <w:sz w:val="24"/>
                <w:szCs w:val="24"/>
              </w:rPr>
              <w:t xml:space="preserve"> and Partnerships</w:t>
            </w:r>
          </w:p>
          <w:p w:rsidR="001C7E35" w:rsidRPr="005E3A10" w:rsidRDefault="001C7E35" w:rsidP="00D835CF">
            <w:pPr>
              <w:pStyle w:val="Infotext"/>
              <w:rPr>
                <w:rFonts w:cs="Arial"/>
                <w:sz w:val="24"/>
                <w:szCs w:val="24"/>
              </w:rPr>
            </w:pPr>
          </w:p>
        </w:tc>
      </w:tr>
      <w:tr w:rsidR="002F11BF">
        <w:trPr>
          <w:gridAfter w:val="1"/>
          <w:wAfter w:w="15" w:type="dxa"/>
        </w:trPr>
        <w:tc>
          <w:tcPr>
            <w:tcW w:w="3456" w:type="dxa"/>
          </w:tcPr>
          <w:p w:rsidR="001C7E35" w:rsidRPr="00DB6C3D" w:rsidRDefault="001C7E35" w:rsidP="00DB6C3D">
            <w:pPr>
              <w:pStyle w:val="Infotext"/>
              <w:rPr>
                <w:rFonts w:ascii="Arial Black" w:hAnsi="Arial Black"/>
              </w:rPr>
            </w:pPr>
            <w:r w:rsidRPr="00DB6C3D">
              <w:rPr>
                <w:rFonts w:ascii="Arial Black" w:hAnsi="Arial Black"/>
              </w:rPr>
              <w:t>Portfolio Holder:</w:t>
            </w:r>
          </w:p>
          <w:p w:rsidR="001C7E35" w:rsidRPr="00C13A5F" w:rsidRDefault="001C7E35" w:rsidP="00A53B04">
            <w:pPr>
              <w:pStyle w:val="BodyText"/>
              <w:rPr>
                <w:rFonts w:ascii="Arial Black" w:hAnsi="Arial Black"/>
              </w:rPr>
            </w:pPr>
          </w:p>
        </w:tc>
        <w:tc>
          <w:tcPr>
            <w:tcW w:w="5054" w:type="dxa"/>
          </w:tcPr>
          <w:p w:rsidR="00632863" w:rsidRDefault="00632863" w:rsidP="00632863">
            <w:pPr>
              <w:rPr>
                <w:szCs w:val="24"/>
              </w:rPr>
            </w:pPr>
            <w:r w:rsidRPr="003E6E6D">
              <w:rPr>
                <w:rFonts w:cs="Arial"/>
                <w:szCs w:val="24"/>
              </w:rPr>
              <w:t xml:space="preserve">Councillor </w:t>
            </w:r>
            <w:r w:rsidR="002430D5">
              <w:rPr>
                <w:rFonts w:cs="Arial"/>
                <w:szCs w:val="24"/>
              </w:rPr>
              <w:t>Graham Henson, Leader</w:t>
            </w:r>
            <w:r w:rsidR="00145BAE">
              <w:rPr>
                <w:rFonts w:cs="Arial"/>
                <w:szCs w:val="24"/>
              </w:rPr>
              <w:t xml:space="preserve"> and Portfolio Holder for Strategy, Partnerships, Devolution &amp; Customer Services.</w:t>
            </w:r>
          </w:p>
          <w:p w:rsidR="001C7E35" w:rsidRPr="005E3A10" w:rsidRDefault="001C7E35" w:rsidP="00D835CF">
            <w:pPr>
              <w:pStyle w:val="Infotext"/>
              <w:rPr>
                <w:rFonts w:cs="Arial"/>
                <w:color w:val="FF0000"/>
                <w:sz w:val="24"/>
                <w:szCs w:val="24"/>
              </w:rPr>
            </w:pPr>
          </w:p>
        </w:tc>
      </w:tr>
      <w:tr w:rsidR="002F11BF">
        <w:trPr>
          <w:gridAfter w:val="1"/>
          <w:wAfter w:w="15" w:type="dxa"/>
        </w:trPr>
        <w:tc>
          <w:tcPr>
            <w:tcW w:w="3456" w:type="dxa"/>
          </w:tcPr>
          <w:p w:rsidR="001C7E35" w:rsidRPr="00DB6C3D" w:rsidRDefault="001C7E35" w:rsidP="00DB6C3D">
            <w:pPr>
              <w:pStyle w:val="Infotext"/>
              <w:rPr>
                <w:rFonts w:ascii="Arial Black" w:hAnsi="Arial Black"/>
              </w:rPr>
            </w:pPr>
            <w:r w:rsidRPr="00DB6C3D">
              <w:rPr>
                <w:rFonts w:ascii="Arial Black" w:hAnsi="Arial Black"/>
              </w:rPr>
              <w:t>Exempt:</w:t>
            </w:r>
          </w:p>
          <w:p w:rsidR="001C7E35" w:rsidRPr="00C13A5F" w:rsidRDefault="001C7E35" w:rsidP="00A53B04">
            <w:pPr>
              <w:pStyle w:val="BodyText"/>
              <w:rPr>
                <w:rFonts w:ascii="Arial Black" w:hAnsi="Arial Black"/>
              </w:rPr>
            </w:pPr>
          </w:p>
        </w:tc>
        <w:tc>
          <w:tcPr>
            <w:tcW w:w="5054" w:type="dxa"/>
          </w:tcPr>
          <w:p w:rsidR="001C7E35" w:rsidRPr="005E3A10" w:rsidRDefault="00632863" w:rsidP="00D835CF">
            <w:pPr>
              <w:pStyle w:val="Infotext"/>
              <w:rPr>
                <w:rFonts w:cs="Arial"/>
                <w:color w:val="FF0000"/>
                <w:sz w:val="24"/>
                <w:szCs w:val="24"/>
              </w:rPr>
            </w:pPr>
            <w:r>
              <w:rPr>
                <w:rFonts w:cs="Arial"/>
                <w:sz w:val="24"/>
                <w:szCs w:val="24"/>
              </w:rPr>
              <w:t>No</w:t>
            </w:r>
          </w:p>
          <w:p w:rsidR="001C7E35" w:rsidRPr="005E3A10" w:rsidRDefault="001C7E35" w:rsidP="00D835CF">
            <w:pPr>
              <w:pStyle w:val="Infotext"/>
              <w:rPr>
                <w:rFonts w:cs="Arial"/>
                <w:color w:val="FF0000"/>
                <w:sz w:val="24"/>
                <w:szCs w:val="24"/>
              </w:rPr>
            </w:pPr>
          </w:p>
        </w:tc>
      </w:tr>
      <w:tr w:rsidR="002F11BF">
        <w:trPr>
          <w:gridAfter w:val="1"/>
          <w:wAfter w:w="15" w:type="dxa"/>
        </w:trPr>
        <w:tc>
          <w:tcPr>
            <w:tcW w:w="3456" w:type="dxa"/>
          </w:tcPr>
          <w:p w:rsidR="001C7E35" w:rsidRPr="00DB6C3D" w:rsidRDefault="001C7E35" w:rsidP="00DB6C3D">
            <w:pPr>
              <w:pStyle w:val="Infotext"/>
              <w:rPr>
                <w:rFonts w:ascii="Arial Black" w:hAnsi="Arial Black"/>
              </w:rPr>
            </w:pPr>
            <w:r w:rsidRPr="00DB6C3D">
              <w:rPr>
                <w:rFonts w:ascii="Arial Black" w:hAnsi="Arial Black"/>
              </w:rPr>
              <w:t>Decision subject to Call-in:</w:t>
            </w:r>
          </w:p>
          <w:p w:rsidR="001C7E35" w:rsidRPr="00C13A5F" w:rsidRDefault="001C7E35" w:rsidP="00A53B04">
            <w:pPr>
              <w:pStyle w:val="BodyText"/>
              <w:rPr>
                <w:rFonts w:ascii="Arial Black" w:hAnsi="Arial Black"/>
              </w:rPr>
            </w:pPr>
          </w:p>
        </w:tc>
        <w:tc>
          <w:tcPr>
            <w:tcW w:w="5054" w:type="dxa"/>
          </w:tcPr>
          <w:p w:rsidR="001C7E35" w:rsidRPr="005E3A10" w:rsidRDefault="007C3625" w:rsidP="00D835CF">
            <w:pPr>
              <w:pStyle w:val="Infotext"/>
              <w:rPr>
                <w:rFonts w:cs="Arial"/>
                <w:sz w:val="24"/>
                <w:szCs w:val="24"/>
              </w:rPr>
            </w:pPr>
            <w:r>
              <w:rPr>
                <w:rFonts w:cs="Arial"/>
                <w:sz w:val="24"/>
                <w:szCs w:val="24"/>
              </w:rPr>
              <w:t xml:space="preserve">Yes </w:t>
            </w:r>
          </w:p>
          <w:p w:rsidR="00714BEE" w:rsidRPr="005E3A10" w:rsidRDefault="00714BEE" w:rsidP="00632863">
            <w:pPr>
              <w:rPr>
                <w:rFonts w:cs="Arial"/>
                <w:szCs w:val="24"/>
              </w:rPr>
            </w:pPr>
          </w:p>
        </w:tc>
      </w:tr>
      <w:tr w:rsidR="002F11BF">
        <w:trPr>
          <w:gridAfter w:val="1"/>
          <w:wAfter w:w="15" w:type="dxa"/>
        </w:trPr>
        <w:tc>
          <w:tcPr>
            <w:tcW w:w="3456" w:type="dxa"/>
          </w:tcPr>
          <w:p w:rsidR="001C7E35" w:rsidRDefault="001C7E35" w:rsidP="00A53B04">
            <w:pPr>
              <w:pStyle w:val="Infotext"/>
              <w:rPr>
                <w:rFonts w:ascii="Arial Black" w:hAnsi="Arial Black" w:cs="Arial"/>
              </w:rPr>
            </w:pPr>
            <w:r>
              <w:rPr>
                <w:rFonts w:ascii="Arial Black" w:hAnsi="Arial Black" w:cs="Arial"/>
              </w:rPr>
              <w:t>Wards affected:</w:t>
            </w:r>
          </w:p>
          <w:p w:rsidR="001C7E35" w:rsidRPr="00C13A5F" w:rsidRDefault="001C7E35" w:rsidP="00A53B04">
            <w:pPr>
              <w:pStyle w:val="Infotext"/>
              <w:rPr>
                <w:rFonts w:ascii="Arial Black" w:hAnsi="Arial Black" w:cs="Arial"/>
              </w:rPr>
            </w:pPr>
          </w:p>
        </w:tc>
        <w:tc>
          <w:tcPr>
            <w:tcW w:w="5054" w:type="dxa"/>
          </w:tcPr>
          <w:p w:rsidR="00307F76" w:rsidRPr="007C3625" w:rsidRDefault="00632863" w:rsidP="00D835CF">
            <w:pPr>
              <w:rPr>
                <w:rFonts w:cs="Arial"/>
                <w:b/>
                <w:color w:val="FF0000"/>
                <w:szCs w:val="24"/>
              </w:rPr>
            </w:pPr>
            <w:r w:rsidRPr="007C3625">
              <w:rPr>
                <w:rFonts w:cs="Arial"/>
                <w:szCs w:val="24"/>
              </w:rPr>
              <w:t>All Wards</w:t>
            </w:r>
          </w:p>
        </w:tc>
      </w:tr>
      <w:tr w:rsidR="002F11BF">
        <w:trPr>
          <w:gridAfter w:val="1"/>
          <w:wAfter w:w="15" w:type="dxa"/>
        </w:trPr>
        <w:tc>
          <w:tcPr>
            <w:tcW w:w="3456" w:type="dxa"/>
          </w:tcPr>
          <w:p w:rsidR="001C7E35" w:rsidRPr="00C13A5F" w:rsidRDefault="001C7E35" w:rsidP="00A53B04">
            <w:pPr>
              <w:pStyle w:val="Infotext"/>
              <w:rPr>
                <w:rFonts w:ascii="Arial Black" w:hAnsi="Arial Black" w:cs="Arial"/>
              </w:rPr>
            </w:pPr>
            <w:r w:rsidRPr="00C13A5F">
              <w:rPr>
                <w:rFonts w:ascii="Arial Black" w:hAnsi="Arial Black" w:cs="Arial"/>
              </w:rPr>
              <w:t>Enclosures:</w:t>
            </w:r>
          </w:p>
          <w:p w:rsidR="001C7E35" w:rsidRPr="00C13A5F" w:rsidRDefault="001C7E35" w:rsidP="00A53B04">
            <w:pPr>
              <w:pStyle w:val="Infotext"/>
              <w:rPr>
                <w:rFonts w:ascii="Arial Black" w:hAnsi="Arial Black" w:cs="Arial"/>
              </w:rPr>
            </w:pPr>
          </w:p>
        </w:tc>
        <w:tc>
          <w:tcPr>
            <w:tcW w:w="5054" w:type="dxa"/>
          </w:tcPr>
          <w:tbl>
            <w:tblPr>
              <w:tblW w:w="0" w:type="auto"/>
              <w:tblLook w:val="0000" w:firstRow="0" w:lastRow="0" w:firstColumn="0" w:lastColumn="0" w:noHBand="0" w:noVBand="0"/>
            </w:tblPr>
            <w:tblGrid>
              <w:gridCol w:w="4838"/>
            </w:tblGrid>
            <w:tr w:rsidR="00632863" w:rsidRPr="007C3625" w:rsidTr="00F41CA2">
              <w:tc>
                <w:tcPr>
                  <w:tcW w:w="5054" w:type="dxa"/>
                </w:tcPr>
                <w:p w:rsidR="002430D5" w:rsidRPr="007C3625" w:rsidRDefault="00610F06" w:rsidP="00E2451D">
                  <w:pPr>
                    <w:pStyle w:val="Infotext"/>
                    <w:rPr>
                      <w:color w:val="FF0000"/>
                      <w:sz w:val="24"/>
                      <w:szCs w:val="24"/>
                    </w:rPr>
                  </w:pPr>
                  <w:r>
                    <w:rPr>
                      <w:rFonts w:cs="Arial"/>
                      <w:sz w:val="24"/>
                      <w:szCs w:val="24"/>
                    </w:rPr>
                    <w:t>None</w:t>
                  </w:r>
                </w:p>
                <w:p w:rsidR="002F11BF" w:rsidRPr="007C3625" w:rsidRDefault="002F11BF" w:rsidP="00E5532F">
                  <w:pPr>
                    <w:pStyle w:val="Infotext"/>
                    <w:ind w:left="720"/>
                    <w:rPr>
                      <w:color w:val="FF0000"/>
                      <w:sz w:val="24"/>
                      <w:szCs w:val="24"/>
                    </w:rPr>
                  </w:pPr>
                </w:p>
              </w:tc>
            </w:tr>
          </w:tbl>
          <w:p w:rsidR="001C7E35" w:rsidRPr="007C3625" w:rsidRDefault="001C7E35" w:rsidP="00DB6C3D">
            <w:pPr>
              <w:pStyle w:val="Infotext"/>
              <w:rPr>
                <w:color w:val="FF0000"/>
                <w:sz w:val="24"/>
                <w:szCs w:val="24"/>
              </w:rPr>
            </w:pPr>
          </w:p>
        </w:tc>
      </w:tr>
    </w:tbl>
    <w:p w:rsidR="00333FAA" w:rsidRDefault="00333FAA" w:rsidP="00333FAA">
      <w:pPr>
        <w:rPr>
          <w:rFonts w:cs="Arial"/>
        </w:rPr>
      </w:pPr>
    </w:p>
    <w:p w:rsidR="004076C8" w:rsidRDefault="004076C8" w:rsidP="00333FA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5"/>
      </w:tblGrid>
      <w:tr w:rsidR="00333FAA">
        <w:tc>
          <w:tcPr>
            <w:tcW w:w="8525" w:type="dxa"/>
            <w:tcBorders>
              <w:top w:val="nil"/>
              <w:left w:val="nil"/>
              <w:right w:val="nil"/>
            </w:tcBorders>
          </w:tcPr>
          <w:p w:rsidR="00333FAA" w:rsidRDefault="00333FAA" w:rsidP="00A53B04">
            <w:pPr>
              <w:pStyle w:val="Heading1"/>
            </w:pPr>
            <w:r>
              <w:t>Section 1 – Summary and Recommendations</w:t>
            </w:r>
          </w:p>
          <w:p w:rsidR="00333FAA" w:rsidRDefault="00333FAA" w:rsidP="00A53B04"/>
        </w:tc>
      </w:tr>
      <w:tr w:rsidR="00333FAA">
        <w:tc>
          <w:tcPr>
            <w:tcW w:w="8525" w:type="dxa"/>
          </w:tcPr>
          <w:p w:rsidR="00333FAA" w:rsidRDefault="00333FAA" w:rsidP="00A53B04"/>
          <w:p w:rsidR="00284127" w:rsidRPr="00850F2A" w:rsidRDefault="00026E8E" w:rsidP="00284127">
            <w:r>
              <w:t xml:space="preserve">This report sets out the </w:t>
            </w:r>
            <w:r w:rsidR="002430D5">
              <w:t xml:space="preserve">work that the Council has undertaken </w:t>
            </w:r>
            <w:r w:rsidR="00E5532F">
              <w:t xml:space="preserve">to date </w:t>
            </w:r>
            <w:r w:rsidR="00D30468">
              <w:t xml:space="preserve">and plans to carry out in the </w:t>
            </w:r>
            <w:r w:rsidR="00E5532F">
              <w:t xml:space="preserve">future in </w:t>
            </w:r>
            <w:r w:rsidR="002430D5">
              <w:t xml:space="preserve">response to the </w:t>
            </w:r>
            <w:r w:rsidR="00610F06">
              <w:t xml:space="preserve">UK’s departure </w:t>
            </w:r>
            <w:r w:rsidR="00D30468">
              <w:t>from</w:t>
            </w:r>
            <w:r w:rsidR="00610F06">
              <w:t xml:space="preserve"> the European Union, which took place on the 31</w:t>
            </w:r>
            <w:r w:rsidR="00610F06" w:rsidRPr="00610F06">
              <w:rPr>
                <w:vertAlign w:val="superscript"/>
              </w:rPr>
              <w:t>st</w:t>
            </w:r>
            <w:r w:rsidR="00610F06">
              <w:t xml:space="preserve"> January 2020</w:t>
            </w:r>
            <w:r w:rsidR="002430D5">
              <w:t>.</w:t>
            </w:r>
          </w:p>
          <w:p w:rsidR="001C7E35" w:rsidRDefault="001C7E35" w:rsidP="001C7E35">
            <w:pPr>
              <w:pStyle w:val="Heading2"/>
            </w:pPr>
          </w:p>
          <w:p w:rsidR="001C7E35" w:rsidRPr="00E5532F" w:rsidRDefault="001C7E35" w:rsidP="001C7E35">
            <w:pPr>
              <w:pStyle w:val="Heading2"/>
              <w:rPr>
                <w:sz w:val="24"/>
              </w:rPr>
            </w:pPr>
            <w:r>
              <w:t xml:space="preserve">Recommendations: </w:t>
            </w:r>
          </w:p>
          <w:p w:rsidR="00284127" w:rsidRPr="00E5532F" w:rsidRDefault="00284127" w:rsidP="00284127">
            <w:pPr>
              <w:pStyle w:val="Heading2"/>
              <w:rPr>
                <w:b w:val="0"/>
                <w:sz w:val="24"/>
              </w:rPr>
            </w:pPr>
            <w:r w:rsidRPr="00E5532F">
              <w:rPr>
                <w:b w:val="0"/>
                <w:sz w:val="24"/>
              </w:rPr>
              <w:t>Cabinet is requested to:</w:t>
            </w:r>
          </w:p>
          <w:p w:rsidR="00284127" w:rsidRPr="00E5532F" w:rsidRDefault="00284127" w:rsidP="00284127">
            <w:pPr>
              <w:pStyle w:val="Heading2"/>
              <w:rPr>
                <w:b w:val="0"/>
                <w:sz w:val="24"/>
              </w:rPr>
            </w:pPr>
          </w:p>
          <w:p w:rsidR="00E65DE5" w:rsidRPr="00E5532F" w:rsidRDefault="002430D5" w:rsidP="00E65DE5">
            <w:pPr>
              <w:pStyle w:val="ListParagraph"/>
              <w:numPr>
                <w:ilvl w:val="0"/>
                <w:numId w:val="23"/>
              </w:numPr>
            </w:pPr>
            <w:r w:rsidRPr="00E5532F">
              <w:t xml:space="preserve">Note the activity which has been undertaken </w:t>
            </w:r>
            <w:r w:rsidR="00E5532F" w:rsidRPr="00E5532F">
              <w:t xml:space="preserve">to date </w:t>
            </w:r>
            <w:r w:rsidRPr="00E5532F">
              <w:t xml:space="preserve">and the </w:t>
            </w:r>
            <w:r w:rsidRPr="00E5532F">
              <w:lastRenderedPageBreak/>
              <w:t>planned actions</w:t>
            </w:r>
            <w:r w:rsidR="00E5532F" w:rsidRPr="00E5532F">
              <w:t>;</w:t>
            </w:r>
            <w:r w:rsidR="00610F06" w:rsidRPr="00E5532F">
              <w:t xml:space="preserve"> and</w:t>
            </w:r>
          </w:p>
          <w:p w:rsidR="002430D5" w:rsidRPr="00E5532F" w:rsidRDefault="002430D5" w:rsidP="00E65DE5">
            <w:pPr>
              <w:pStyle w:val="ListParagraph"/>
              <w:numPr>
                <w:ilvl w:val="0"/>
                <w:numId w:val="23"/>
              </w:numPr>
            </w:pPr>
            <w:r w:rsidRPr="00E5532F">
              <w:t xml:space="preserve">Agree that the areas currently being funded from monies received from Government to support Brexit locally </w:t>
            </w:r>
            <w:r w:rsidR="00610F06">
              <w:t>remain the</w:t>
            </w:r>
            <w:r w:rsidRPr="00E5532F">
              <w:t xml:space="preserve"> priority areas for this funding to be </w:t>
            </w:r>
            <w:r w:rsidR="00E5532F" w:rsidRPr="00E5532F">
              <w:t>spent on</w:t>
            </w:r>
            <w:r w:rsidR="00610F06">
              <w:t xml:space="preserve"> throughout 2020.</w:t>
            </w:r>
          </w:p>
          <w:p w:rsidR="00284127" w:rsidRPr="00E5532F" w:rsidRDefault="00284127" w:rsidP="00284127">
            <w:pPr>
              <w:pStyle w:val="Heading2"/>
              <w:rPr>
                <w:sz w:val="24"/>
              </w:rPr>
            </w:pPr>
          </w:p>
          <w:p w:rsidR="00D51A87" w:rsidRDefault="00D51A87" w:rsidP="00D51A87">
            <w:pPr>
              <w:pStyle w:val="Heading2"/>
              <w:rPr>
                <w:color w:val="FF0000"/>
              </w:rPr>
            </w:pPr>
            <w:r>
              <w:t xml:space="preserve">Reason (For recommendations): </w:t>
            </w:r>
            <w:r>
              <w:rPr>
                <w:color w:val="FF0000"/>
              </w:rPr>
              <w:t xml:space="preserve"> </w:t>
            </w:r>
          </w:p>
          <w:p w:rsidR="00333FAA" w:rsidRDefault="00E5532F" w:rsidP="00284127">
            <w:r>
              <w:t xml:space="preserve">The Council has a duty under the Civil Contingencies Act 2004 to put in place adequate resilience arrangements in the borough. As the impact of </w:t>
            </w:r>
            <w:r w:rsidR="00610F06">
              <w:t>the UKs’ exit from the European Union</w:t>
            </w:r>
            <w:r>
              <w:t xml:space="preserve"> </w:t>
            </w:r>
            <w:r w:rsidR="00610F06">
              <w:t>on the 31</w:t>
            </w:r>
            <w:r w:rsidR="00610F06" w:rsidRPr="00610F06">
              <w:rPr>
                <w:vertAlign w:val="superscript"/>
              </w:rPr>
              <w:t>st</w:t>
            </w:r>
            <w:r w:rsidR="00610F06">
              <w:t xml:space="preserve"> January 2020 still </w:t>
            </w:r>
            <w:r>
              <w:t>has a number of potential scenarios</w:t>
            </w:r>
            <w:r w:rsidR="00610F06">
              <w:t xml:space="preserve"> following the end of the Transition Period in December 2020</w:t>
            </w:r>
            <w:r>
              <w:t xml:space="preserve">, it is important that the Council plans accordingly. </w:t>
            </w:r>
          </w:p>
          <w:p w:rsidR="00333FAA" w:rsidRDefault="00333FAA" w:rsidP="00A53B04">
            <w:pPr>
              <w:jc w:val="both"/>
              <w:rPr>
                <w:rFonts w:cs="Arial"/>
              </w:rPr>
            </w:pPr>
          </w:p>
        </w:tc>
      </w:tr>
    </w:tbl>
    <w:p w:rsidR="00333FAA" w:rsidRDefault="00333FAA" w:rsidP="00333FAA">
      <w:pPr>
        <w:pStyle w:val="Heading1"/>
        <w:rPr>
          <w:rFonts w:ascii="Arial" w:hAnsi="Arial"/>
          <w:sz w:val="24"/>
          <w:szCs w:val="24"/>
        </w:rPr>
      </w:pPr>
    </w:p>
    <w:p w:rsidR="0036201C" w:rsidRPr="006E7F94" w:rsidRDefault="0036201C" w:rsidP="0036201C"/>
    <w:p w:rsidR="00333FAA" w:rsidRPr="006E7F94" w:rsidRDefault="00333FAA" w:rsidP="00333FAA">
      <w:pPr>
        <w:pStyle w:val="Heading1"/>
      </w:pPr>
      <w:r w:rsidRPr="006E7F94">
        <w:t>Section 2 – Report</w:t>
      </w:r>
    </w:p>
    <w:p w:rsidR="00030F7E" w:rsidRPr="006E7F94" w:rsidRDefault="00030F7E" w:rsidP="00284127">
      <w:pPr>
        <w:rPr>
          <w:b/>
          <w:sz w:val="28"/>
          <w:szCs w:val="28"/>
        </w:rPr>
      </w:pPr>
    </w:p>
    <w:p w:rsidR="00030F7E" w:rsidRPr="006E7F94" w:rsidRDefault="00284127" w:rsidP="00284127">
      <w:pPr>
        <w:rPr>
          <w:b/>
          <w:sz w:val="28"/>
          <w:szCs w:val="28"/>
        </w:rPr>
      </w:pPr>
      <w:r w:rsidRPr="006E7F94">
        <w:rPr>
          <w:b/>
          <w:sz w:val="28"/>
          <w:szCs w:val="28"/>
        </w:rPr>
        <w:t>Introduction</w:t>
      </w:r>
      <w:r w:rsidR="00030F7E" w:rsidRPr="006E7F94">
        <w:rPr>
          <w:b/>
          <w:sz w:val="28"/>
          <w:szCs w:val="28"/>
        </w:rPr>
        <w:t xml:space="preserve"> </w:t>
      </w:r>
    </w:p>
    <w:p w:rsidR="00030F7E" w:rsidRPr="001162EA" w:rsidRDefault="00030F7E" w:rsidP="000C39B3">
      <w:pPr>
        <w:tabs>
          <w:tab w:val="left" w:pos="426"/>
        </w:tabs>
        <w:ind w:left="426" w:hanging="426"/>
        <w:rPr>
          <w:szCs w:val="28"/>
        </w:rPr>
      </w:pPr>
    </w:p>
    <w:p w:rsidR="00610F06" w:rsidRPr="000C39B3" w:rsidRDefault="00610F06" w:rsidP="000C39B3">
      <w:pPr>
        <w:pStyle w:val="ListParagraph"/>
        <w:numPr>
          <w:ilvl w:val="0"/>
          <w:numId w:val="27"/>
        </w:numPr>
        <w:tabs>
          <w:tab w:val="left" w:pos="426"/>
        </w:tabs>
        <w:ind w:left="426" w:hanging="426"/>
        <w:rPr>
          <w:szCs w:val="28"/>
        </w:rPr>
      </w:pPr>
      <w:r w:rsidRPr="000C39B3">
        <w:rPr>
          <w:szCs w:val="28"/>
        </w:rPr>
        <w:t xml:space="preserve">Cabinet received a report in October 2019 setting out the Council’s preparations for </w:t>
      </w:r>
      <w:r w:rsidR="00FA22DF" w:rsidRPr="000C39B3">
        <w:rPr>
          <w:szCs w:val="28"/>
        </w:rPr>
        <w:t>the UK’s departure from</w:t>
      </w:r>
      <w:r w:rsidRPr="000C39B3">
        <w:rPr>
          <w:szCs w:val="28"/>
        </w:rPr>
        <w:t xml:space="preserve"> the European Union (EU), which at that stage were based upon both ‘deal’ and ‘no deal’ </w:t>
      </w:r>
      <w:r w:rsidR="000C2D5F" w:rsidRPr="000C39B3">
        <w:rPr>
          <w:szCs w:val="28"/>
        </w:rPr>
        <w:t>options. As the UK has now formal</w:t>
      </w:r>
      <w:r w:rsidRPr="000C39B3">
        <w:rPr>
          <w:szCs w:val="28"/>
        </w:rPr>
        <w:t>ly left the EU</w:t>
      </w:r>
      <w:r w:rsidR="001162EA" w:rsidRPr="000C39B3">
        <w:rPr>
          <w:szCs w:val="28"/>
        </w:rPr>
        <w:t xml:space="preserve"> on the 31</w:t>
      </w:r>
      <w:r w:rsidR="001162EA" w:rsidRPr="000C39B3">
        <w:rPr>
          <w:szCs w:val="28"/>
          <w:vertAlign w:val="superscript"/>
        </w:rPr>
        <w:t>st</w:t>
      </w:r>
      <w:r w:rsidR="001162EA" w:rsidRPr="000C39B3">
        <w:rPr>
          <w:szCs w:val="28"/>
        </w:rPr>
        <w:t xml:space="preserve"> January 2020 with a deal and entered into a Transition Period until December 2020, this </w:t>
      </w:r>
      <w:r w:rsidR="00FA22DF" w:rsidRPr="000C39B3">
        <w:rPr>
          <w:szCs w:val="28"/>
        </w:rPr>
        <w:t>report</w:t>
      </w:r>
      <w:r w:rsidR="001162EA" w:rsidRPr="000C39B3">
        <w:rPr>
          <w:szCs w:val="28"/>
        </w:rPr>
        <w:t xml:space="preserve"> highlights the continued work the Council is undertaking to prepare for the end of the Transition Period, and in particular the work to support Settled Status. </w:t>
      </w:r>
    </w:p>
    <w:p w:rsidR="005D55D1" w:rsidRPr="00610F06" w:rsidRDefault="005D55D1" w:rsidP="000C39B3">
      <w:pPr>
        <w:tabs>
          <w:tab w:val="left" w:pos="426"/>
        </w:tabs>
        <w:ind w:left="426" w:hanging="426"/>
        <w:rPr>
          <w:rFonts w:cs="Arial"/>
          <w:szCs w:val="24"/>
          <w:lang w:val="en-US"/>
        </w:rPr>
      </w:pPr>
    </w:p>
    <w:p w:rsidR="009A1038" w:rsidRDefault="001162EA" w:rsidP="000C39B3">
      <w:pPr>
        <w:pStyle w:val="ListParagraph"/>
        <w:numPr>
          <w:ilvl w:val="0"/>
          <w:numId w:val="27"/>
        </w:numPr>
        <w:tabs>
          <w:tab w:val="left" w:pos="426"/>
        </w:tabs>
        <w:ind w:left="426" w:hanging="426"/>
      </w:pPr>
      <w:r>
        <w:t>The report in October delegated</w:t>
      </w:r>
      <w:r w:rsidR="00610F06" w:rsidRPr="00E5532F">
        <w:t xml:space="preserve"> to the Chief Executive</w:t>
      </w:r>
      <w:r w:rsidR="009A1038">
        <w:t>,</w:t>
      </w:r>
      <w:r w:rsidR="00610F06" w:rsidRPr="00E5532F">
        <w:t xml:space="preserve"> in consultation with the Leader</w:t>
      </w:r>
      <w:r w:rsidR="009A1038">
        <w:t>,</w:t>
      </w:r>
      <w:r w:rsidR="00610F06" w:rsidRPr="00E5532F">
        <w:t xml:space="preserve"> the ability to make any </w:t>
      </w:r>
      <w:r w:rsidR="009A1038" w:rsidRPr="00E5532F">
        <w:t xml:space="preserve">urgent or immediate decision on activity if the UK </w:t>
      </w:r>
      <w:r w:rsidR="009A1038">
        <w:t>left</w:t>
      </w:r>
      <w:r w:rsidR="009A1038" w:rsidRPr="00E5532F">
        <w:t xml:space="preserve"> the EU with ‘No Deal’ on the 31</w:t>
      </w:r>
      <w:r w:rsidR="009A1038" w:rsidRPr="000C39B3">
        <w:rPr>
          <w:vertAlign w:val="superscript"/>
        </w:rPr>
        <w:t>st</w:t>
      </w:r>
      <w:r w:rsidR="009A1038" w:rsidRPr="00E5532F">
        <w:t xml:space="preserve"> October 2019 or any other future date.</w:t>
      </w:r>
      <w:r w:rsidR="009A1038">
        <w:t xml:space="preserve"> Given the Transition Period ends in December 2020, at which it is assumed that a number of arrangements are in place covering trade, laws, movement of people etc, there is still a risk that some of these arrangements may not be fully in place</w:t>
      </w:r>
      <w:r w:rsidR="003E48C6">
        <w:t xml:space="preserve"> at the time </w:t>
      </w:r>
      <w:r w:rsidR="00694335">
        <w:t xml:space="preserve">the </w:t>
      </w:r>
      <w:r w:rsidR="00D30468">
        <w:t xml:space="preserve">Transition </w:t>
      </w:r>
      <w:r w:rsidR="00694335">
        <w:t>Period formal</w:t>
      </w:r>
      <w:r w:rsidR="003E48C6">
        <w:t>ly ends</w:t>
      </w:r>
      <w:r w:rsidR="009A1038">
        <w:t>. Therefor</w:t>
      </w:r>
      <w:r w:rsidR="00FA22DF">
        <w:t>e it is sensible to retain the delegation</w:t>
      </w:r>
      <w:r w:rsidR="009A1038">
        <w:t xml:space="preserve"> </w:t>
      </w:r>
      <w:r w:rsidR="003E48C6">
        <w:t xml:space="preserve">that </w:t>
      </w:r>
      <w:r w:rsidR="009A1038">
        <w:t xml:space="preserve">Cabinet </w:t>
      </w:r>
      <w:r w:rsidR="003E48C6">
        <w:t xml:space="preserve">agreed </w:t>
      </w:r>
      <w:r w:rsidR="009A1038">
        <w:t>on the 10</w:t>
      </w:r>
      <w:r w:rsidR="009A1038" w:rsidRPr="000C39B3">
        <w:rPr>
          <w:vertAlign w:val="superscript"/>
        </w:rPr>
        <w:t>th</w:t>
      </w:r>
      <w:r w:rsidR="00FA22DF">
        <w:t xml:space="preserve"> October 2019 and align it</w:t>
      </w:r>
      <w:r w:rsidR="009A1038">
        <w:t xml:space="preserve"> to any need </w:t>
      </w:r>
      <w:r w:rsidR="003E48C6">
        <w:t>for urgent or immediate decisions</w:t>
      </w:r>
      <w:r w:rsidR="009A1038">
        <w:t xml:space="preserve"> </w:t>
      </w:r>
      <w:r w:rsidR="003E48C6">
        <w:t xml:space="preserve">in the run up to or </w:t>
      </w:r>
      <w:r w:rsidR="009A1038">
        <w:t xml:space="preserve">following the end of the Transition Period </w:t>
      </w:r>
      <w:r w:rsidR="00FA22DF">
        <w:t>on the 31</w:t>
      </w:r>
      <w:r w:rsidR="00FA22DF" w:rsidRPr="000C39B3">
        <w:rPr>
          <w:vertAlign w:val="superscript"/>
        </w:rPr>
        <w:t>st</w:t>
      </w:r>
      <w:r w:rsidR="00FA22DF">
        <w:t xml:space="preserve"> </w:t>
      </w:r>
      <w:r w:rsidR="009A1038">
        <w:t>December 2020.</w:t>
      </w:r>
    </w:p>
    <w:p w:rsidR="00610F06" w:rsidRPr="00E5532F" w:rsidRDefault="00610F06" w:rsidP="000C39B3">
      <w:pPr>
        <w:tabs>
          <w:tab w:val="left" w:pos="426"/>
        </w:tabs>
        <w:ind w:left="426" w:hanging="426"/>
      </w:pPr>
    </w:p>
    <w:p w:rsidR="00610F06" w:rsidRPr="000C39B3" w:rsidRDefault="00610F06" w:rsidP="000C39B3">
      <w:pPr>
        <w:tabs>
          <w:tab w:val="left" w:pos="426"/>
        </w:tabs>
        <w:rPr>
          <w:rFonts w:cs="Arial"/>
          <w:b/>
          <w:szCs w:val="24"/>
        </w:rPr>
      </w:pPr>
      <w:r w:rsidRPr="000C39B3">
        <w:rPr>
          <w:rFonts w:cs="Arial"/>
          <w:b/>
          <w:szCs w:val="24"/>
        </w:rPr>
        <w:t>The National Context</w:t>
      </w:r>
    </w:p>
    <w:p w:rsidR="00E5532F" w:rsidRDefault="00E5532F" w:rsidP="000C39B3">
      <w:pPr>
        <w:tabs>
          <w:tab w:val="left" w:pos="426"/>
        </w:tabs>
        <w:ind w:left="426" w:hanging="426"/>
        <w:rPr>
          <w:rFonts w:cs="Arial"/>
          <w:szCs w:val="24"/>
          <w:lang w:val="en-US" w:eastAsia="en-GB"/>
        </w:rPr>
      </w:pPr>
    </w:p>
    <w:p w:rsidR="003E48C6" w:rsidRPr="000C39B3" w:rsidRDefault="009F5D56" w:rsidP="000C39B3">
      <w:pPr>
        <w:pStyle w:val="ListParagraph"/>
        <w:numPr>
          <w:ilvl w:val="0"/>
          <w:numId w:val="27"/>
        </w:numPr>
        <w:tabs>
          <w:tab w:val="left" w:pos="426"/>
        </w:tabs>
        <w:ind w:left="426" w:hanging="426"/>
        <w:rPr>
          <w:rFonts w:cs="Arial"/>
          <w:szCs w:val="24"/>
          <w:lang w:val="en-US" w:eastAsia="en-GB"/>
        </w:rPr>
      </w:pPr>
      <w:r w:rsidRPr="000C39B3">
        <w:rPr>
          <w:rFonts w:cs="Arial"/>
          <w:szCs w:val="24"/>
          <w:lang w:val="en-US" w:eastAsia="en-GB"/>
        </w:rPr>
        <w:t>Following the General Election on 12</w:t>
      </w:r>
      <w:r w:rsidRPr="000C39B3">
        <w:rPr>
          <w:rFonts w:cs="Arial"/>
          <w:szCs w:val="24"/>
          <w:vertAlign w:val="superscript"/>
          <w:lang w:val="en-US" w:eastAsia="en-GB"/>
        </w:rPr>
        <w:t>th</w:t>
      </w:r>
      <w:r w:rsidRPr="000C39B3">
        <w:rPr>
          <w:rFonts w:cs="Arial"/>
          <w:szCs w:val="24"/>
          <w:lang w:val="en-US" w:eastAsia="en-GB"/>
        </w:rPr>
        <w:t xml:space="preserve"> December 2019, and the Conservative majority Government formed as a result, the date for leaving the European Union was confirmed as the 31</w:t>
      </w:r>
      <w:r w:rsidRPr="000C39B3">
        <w:rPr>
          <w:rFonts w:cs="Arial"/>
          <w:szCs w:val="24"/>
          <w:vertAlign w:val="superscript"/>
          <w:lang w:val="en-US" w:eastAsia="en-GB"/>
        </w:rPr>
        <w:t>st</w:t>
      </w:r>
      <w:r w:rsidRPr="000C39B3">
        <w:rPr>
          <w:rFonts w:cs="Arial"/>
          <w:szCs w:val="24"/>
          <w:lang w:val="en-US" w:eastAsia="en-GB"/>
        </w:rPr>
        <w:t xml:space="preserve"> January 2020. On the 23</w:t>
      </w:r>
      <w:r w:rsidRPr="000C39B3">
        <w:rPr>
          <w:rFonts w:cs="Arial"/>
          <w:szCs w:val="24"/>
          <w:vertAlign w:val="superscript"/>
          <w:lang w:val="en-US" w:eastAsia="en-GB"/>
        </w:rPr>
        <w:t>rd</w:t>
      </w:r>
      <w:r w:rsidRPr="000C39B3">
        <w:rPr>
          <w:rFonts w:cs="Arial"/>
          <w:szCs w:val="24"/>
          <w:lang w:val="en-US" w:eastAsia="en-GB"/>
        </w:rPr>
        <w:t xml:space="preserve"> January 2020, the European Union (Withdrawal Agreement) Bill 2019-20 received Royal Assent to become the European Union (Withdrawal Agreement) Act 2020 (EUA). The UK therefore left the European Union on the 31</w:t>
      </w:r>
      <w:r w:rsidRPr="000C39B3">
        <w:rPr>
          <w:rFonts w:cs="Arial"/>
          <w:szCs w:val="24"/>
          <w:vertAlign w:val="superscript"/>
          <w:lang w:val="en-US" w:eastAsia="en-GB"/>
        </w:rPr>
        <w:t>st</w:t>
      </w:r>
      <w:r w:rsidRPr="000C39B3">
        <w:rPr>
          <w:rFonts w:cs="Arial"/>
          <w:szCs w:val="24"/>
          <w:lang w:val="en-US" w:eastAsia="en-GB"/>
        </w:rPr>
        <w:t xml:space="preserve"> January and entered into the Transition Period, which is due to end on the 31</w:t>
      </w:r>
      <w:r w:rsidRPr="000C39B3">
        <w:rPr>
          <w:rFonts w:cs="Arial"/>
          <w:szCs w:val="24"/>
          <w:vertAlign w:val="superscript"/>
          <w:lang w:val="en-US" w:eastAsia="en-GB"/>
        </w:rPr>
        <w:t>st</w:t>
      </w:r>
      <w:r w:rsidRPr="000C39B3">
        <w:rPr>
          <w:rFonts w:cs="Arial"/>
          <w:szCs w:val="24"/>
          <w:lang w:val="en-US" w:eastAsia="en-GB"/>
        </w:rPr>
        <w:t xml:space="preserve"> December 2020.</w:t>
      </w:r>
    </w:p>
    <w:p w:rsidR="003E48C6" w:rsidRPr="006E7F94" w:rsidRDefault="003E48C6" w:rsidP="000C39B3">
      <w:pPr>
        <w:tabs>
          <w:tab w:val="left" w:pos="426"/>
        </w:tabs>
        <w:ind w:left="426" w:hanging="426"/>
        <w:rPr>
          <w:rFonts w:cs="Arial"/>
          <w:szCs w:val="24"/>
          <w:lang w:val="en-US" w:eastAsia="en-GB"/>
        </w:rPr>
      </w:pPr>
    </w:p>
    <w:p w:rsidR="00030F7E" w:rsidRPr="000C39B3" w:rsidRDefault="00030F7E" w:rsidP="000C39B3">
      <w:pPr>
        <w:tabs>
          <w:tab w:val="left" w:pos="426"/>
        </w:tabs>
        <w:rPr>
          <w:rFonts w:cs="Arial"/>
          <w:b/>
          <w:szCs w:val="24"/>
          <w:lang w:val="en-US" w:eastAsia="en-GB"/>
        </w:rPr>
      </w:pPr>
      <w:r w:rsidRPr="000C39B3">
        <w:rPr>
          <w:rFonts w:cs="Arial"/>
          <w:b/>
          <w:szCs w:val="24"/>
          <w:lang w:val="en-US" w:eastAsia="en-GB"/>
        </w:rPr>
        <w:lastRenderedPageBreak/>
        <w:t>The Harrow Context</w:t>
      </w:r>
    </w:p>
    <w:p w:rsidR="00E5532F" w:rsidRPr="006E7F94" w:rsidRDefault="00E5532F" w:rsidP="000C39B3">
      <w:pPr>
        <w:tabs>
          <w:tab w:val="left" w:pos="426"/>
        </w:tabs>
        <w:ind w:left="426" w:hanging="426"/>
        <w:rPr>
          <w:rFonts w:cs="Arial"/>
          <w:b/>
          <w:szCs w:val="24"/>
          <w:lang w:val="en-US" w:eastAsia="en-GB"/>
        </w:rPr>
      </w:pPr>
    </w:p>
    <w:p w:rsidR="00DE7D82" w:rsidRPr="000C39B3" w:rsidRDefault="00030F7E" w:rsidP="000C39B3">
      <w:pPr>
        <w:pStyle w:val="ListParagraph"/>
        <w:numPr>
          <w:ilvl w:val="0"/>
          <w:numId w:val="27"/>
        </w:numPr>
        <w:tabs>
          <w:tab w:val="left" w:pos="426"/>
        </w:tabs>
        <w:ind w:left="426" w:hanging="426"/>
        <w:rPr>
          <w:rFonts w:cs="Arial"/>
          <w:szCs w:val="24"/>
          <w:lang w:val="en-US" w:eastAsia="en-GB"/>
        </w:rPr>
      </w:pPr>
      <w:r w:rsidRPr="000C39B3">
        <w:rPr>
          <w:rFonts w:cs="Arial"/>
          <w:szCs w:val="24"/>
          <w:lang w:val="en-US" w:eastAsia="en-GB"/>
        </w:rPr>
        <w:t>T</w:t>
      </w:r>
      <w:r w:rsidR="00DE7D82" w:rsidRPr="000C39B3">
        <w:rPr>
          <w:rFonts w:cs="Arial"/>
          <w:szCs w:val="24"/>
          <w:lang w:val="en-US" w:eastAsia="en-GB"/>
        </w:rPr>
        <w:t xml:space="preserve">his report </w:t>
      </w:r>
      <w:r w:rsidRPr="000C39B3">
        <w:rPr>
          <w:rFonts w:cs="Arial"/>
          <w:szCs w:val="24"/>
          <w:lang w:val="en-US" w:eastAsia="en-GB"/>
        </w:rPr>
        <w:t>sets out to create an understanding of</w:t>
      </w:r>
      <w:r w:rsidR="00DE7D82" w:rsidRPr="000C39B3">
        <w:rPr>
          <w:rFonts w:cs="Arial"/>
          <w:szCs w:val="24"/>
          <w:lang w:val="en-US" w:eastAsia="en-GB"/>
        </w:rPr>
        <w:t xml:space="preserve"> the risks, issues and opportunities that </w:t>
      </w:r>
      <w:r w:rsidRPr="000C39B3">
        <w:rPr>
          <w:rFonts w:cs="Arial"/>
          <w:szCs w:val="24"/>
          <w:lang w:val="en-US" w:eastAsia="en-GB"/>
        </w:rPr>
        <w:t>the UK</w:t>
      </w:r>
      <w:r w:rsidR="00D30468" w:rsidRPr="000C39B3">
        <w:rPr>
          <w:rFonts w:cs="Arial"/>
          <w:szCs w:val="24"/>
          <w:lang w:val="en-US" w:eastAsia="en-GB"/>
        </w:rPr>
        <w:t>’</w:t>
      </w:r>
      <w:r w:rsidRPr="000C39B3">
        <w:rPr>
          <w:rFonts w:cs="Arial"/>
          <w:szCs w:val="24"/>
          <w:lang w:val="en-US" w:eastAsia="en-GB"/>
        </w:rPr>
        <w:t xml:space="preserve">s </w:t>
      </w:r>
      <w:r w:rsidR="00DE7D82" w:rsidRPr="000C39B3">
        <w:rPr>
          <w:rFonts w:cs="Arial"/>
          <w:szCs w:val="24"/>
          <w:lang w:val="en-US" w:eastAsia="en-GB"/>
        </w:rPr>
        <w:t xml:space="preserve">exiting </w:t>
      </w:r>
      <w:r w:rsidRPr="000C39B3">
        <w:rPr>
          <w:rFonts w:cs="Arial"/>
          <w:szCs w:val="24"/>
          <w:lang w:val="en-US" w:eastAsia="en-GB"/>
        </w:rPr>
        <w:t xml:space="preserve">of </w:t>
      </w:r>
      <w:r w:rsidR="00DE7D82" w:rsidRPr="000C39B3">
        <w:rPr>
          <w:rFonts w:cs="Arial"/>
          <w:szCs w:val="24"/>
          <w:lang w:val="en-US" w:eastAsia="en-GB"/>
        </w:rPr>
        <w:t>the EU may have upon the borough</w:t>
      </w:r>
      <w:r w:rsidR="003E48C6" w:rsidRPr="000C39B3">
        <w:rPr>
          <w:rFonts w:cs="Arial"/>
          <w:szCs w:val="24"/>
          <w:lang w:val="en-US" w:eastAsia="en-GB"/>
        </w:rPr>
        <w:t>.</w:t>
      </w:r>
      <w:r w:rsidRPr="000C39B3">
        <w:rPr>
          <w:rFonts w:cs="Arial"/>
          <w:szCs w:val="24"/>
          <w:lang w:val="en-US" w:eastAsia="en-GB"/>
        </w:rPr>
        <w:t xml:space="preserve"> </w:t>
      </w:r>
      <w:r w:rsidR="003E48C6" w:rsidRPr="000C39B3">
        <w:rPr>
          <w:rFonts w:cs="Arial"/>
          <w:szCs w:val="24"/>
          <w:lang w:val="en-US" w:eastAsia="en-GB"/>
        </w:rPr>
        <w:t>As before, t</w:t>
      </w:r>
      <w:r w:rsidR="00DE7D82" w:rsidRPr="000C39B3">
        <w:rPr>
          <w:rFonts w:cs="Arial"/>
          <w:szCs w:val="24"/>
          <w:lang w:val="en-US" w:eastAsia="en-GB"/>
        </w:rPr>
        <w:t xml:space="preserve">he Council’s contingency planning has tried to </w:t>
      </w:r>
      <w:r w:rsidR="00FA22DF" w:rsidRPr="000C39B3">
        <w:rPr>
          <w:rFonts w:cs="Arial"/>
          <w:szCs w:val="24"/>
          <w:lang w:val="en-US" w:eastAsia="en-GB"/>
        </w:rPr>
        <w:t xml:space="preserve">take </w:t>
      </w:r>
      <w:r w:rsidR="00DE7D82" w:rsidRPr="000C39B3">
        <w:rPr>
          <w:rFonts w:cs="Arial"/>
          <w:szCs w:val="24"/>
          <w:lang w:val="en-US" w:eastAsia="en-GB"/>
        </w:rPr>
        <w:t xml:space="preserve">account </w:t>
      </w:r>
      <w:r w:rsidRPr="000C39B3">
        <w:rPr>
          <w:rFonts w:cs="Arial"/>
          <w:szCs w:val="24"/>
          <w:lang w:val="en-US" w:eastAsia="en-GB"/>
        </w:rPr>
        <w:t>of</w:t>
      </w:r>
      <w:r w:rsidR="00DE7D82" w:rsidRPr="000C39B3">
        <w:rPr>
          <w:rFonts w:cs="Arial"/>
          <w:szCs w:val="24"/>
          <w:lang w:val="en-US" w:eastAsia="en-GB"/>
        </w:rPr>
        <w:t xml:space="preserve"> all scenarios</w:t>
      </w:r>
      <w:r w:rsidR="003E48C6" w:rsidRPr="000C39B3">
        <w:rPr>
          <w:rFonts w:cs="Arial"/>
          <w:szCs w:val="24"/>
          <w:lang w:val="en-US" w:eastAsia="en-GB"/>
        </w:rPr>
        <w:t xml:space="preserve"> post December 2020, but principally the most important consideration for the Council is with regard to Sett</w:t>
      </w:r>
      <w:r w:rsidR="00C36B9F" w:rsidRPr="000C39B3">
        <w:rPr>
          <w:rFonts w:cs="Arial"/>
          <w:szCs w:val="24"/>
          <w:lang w:val="en-US" w:eastAsia="en-GB"/>
        </w:rPr>
        <w:t xml:space="preserve">led Status, both in terms of ensuring that those Harrow residents who are affected by this are fully aware of what they need to do should they wish to remain in the UK, but also for the Council to consider any changes we may need to make to policies and procedures to ensure we have fully taken account of the changes Settled Status means for </w:t>
      </w:r>
      <w:r w:rsidR="00FA22DF" w:rsidRPr="000C39B3">
        <w:rPr>
          <w:rFonts w:cs="Arial"/>
          <w:szCs w:val="24"/>
          <w:lang w:val="en-US" w:eastAsia="en-GB"/>
        </w:rPr>
        <w:t>anyone</w:t>
      </w:r>
      <w:r w:rsidR="00C36B9F" w:rsidRPr="000C39B3">
        <w:rPr>
          <w:rFonts w:cs="Arial"/>
          <w:szCs w:val="24"/>
          <w:lang w:val="en-US" w:eastAsia="en-GB"/>
        </w:rPr>
        <w:t xml:space="preserve"> in receipt of Council services</w:t>
      </w:r>
      <w:r w:rsidR="00DE7D82" w:rsidRPr="000C39B3">
        <w:rPr>
          <w:rFonts w:cs="Arial"/>
          <w:szCs w:val="24"/>
          <w:lang w:val="en-US" w:eastAsia="en-GB"/>
        </w:rPr>
        <w:t>.</w:t>
      </w:r>
    </w:p>
    <w:p w:rsidR="00E5532F" w:rsidRPr="006E7F94" w:rsidRDefault="00E5532F" w:rsidP="000C39B3">
      <w:pPr>
        <w:tabs>
          <w:tab w:val="left" w:pos="426"/>
        </w:tabs>
        <w:ind w:left="426" w:hanging="426"/>
        <w:rPr>
          <w:rFonts w:cs="Arial"/>
          <w:szCs w:val="24"/>
          <w:lang w:val="en-US" w:eastAsia="en-GB"/>
        </w:rPr>
      </w:pPr>
    </w:p>
    <w:p w:rsidR="005D55D1" w:rsidRPr="000C39B3" w:rsidRDefault="00030F7E" w:rsidP="000C39B3">
      <w:pPr>
        <w:pStyle w:val="ListParagraph"/>
        <w:numPr>
          <w:ilvl w:val="0"/>
          <w:numId w:val="27"/>
        </w:numPr>
        <w:tabs>
          <w:tab w:val="left" w:pos="426"/>
        </w:tabs>
        <w:ind w:left="426" w:hanging="426"/>
        <w:rPr>
          <w:rFonts w:cs="Arial"/>
          <w:szCs w:val="24"/>
          <w:lang w:val="en-US" w:eastAsia="en-GB"/>
        </w:rPr>
      </w:pPr>
      <w:r w:rsidRPr="000C39B3">
        <w:rPr>
          <w:rFonts w:cs="Arial"/>
          <w:szCs w:val="24"/>
          <w:lang w:val="en-US" w:eastAsia="en-GB"/>
        </w:rPr>
        <w:t>The Council</w:t>
      </w:r>
      <w:r w:rsidR="00D30468" w:rsidRPr="000C39B3">
        <w:rPr>
          <w:rFonts w:cs="Arial"/>
          <w:szCs w:val="24"/>
          <w:lang w:val="en-US" w:eastAsia="en-GB"/>
        </w:rPr>
        <w:t>’</w:t>
      </w:r>
      <w:r w:rsidRPr="000C39B3">
        <w:rPr>
          <w:rFonts w:cs="Arial"/>
          <w:szCs w:val="24"/>
          <w:lang w:val="en-US" w:eastAsia="en-GB"/>
        </w:rPr>
        <w:t>s</w:t>
      </w:r>
      <w:r w:rsidR="00DE7D82" w:rsidRPr="000C39B3">
        <w:rPr>
          <w:rFonts w:cs="Arial"/>
          <w:szCs w:val="24"/>
          <w:lang w:val="en-US" w:eastAsia="en-GB"/>
        </w:rPr>
        <w:t xml:space="preserve"> </w:t>
      </w:r>
      <w:r w:rsidR="000C2D5F" w:rsidRPr="000C39B3">
        <w:rPr>
          <w:rFonts w:cs="Arial"/>
          <w:szCs w:val="24"/>
          <w:lang w:val="en-US" w:eastAsia="en-GB"/>
        </w:rPr>
        <w:t xml:space="preserve">contingency </w:t>
      </w:r>
      <w:r w:rsidR="00DE7D82" w:rsidRPr="000C39B3">
        <w:rPr>
          <w:rFonts w:cs="Arial"/>
          <w:szCs w:val="24"/>
          <w:lang w:val="en-US" w:eastAsia="en-GB"/>
        </w:rPr>
        <w:t>planning arrangements have used the criteria developed by the Ministry of Housing, Communities and Local Government (MHCLG)</w:t>
      </w:r>
      <w:r w:rsidRPr="000C39B3">
        <w:rPr>
          <w:rFonts w:cs="Arial"/>
          <w:szCs w:val="24"/>
          <w:lang w:val="en-US" w:eastAsia="en-GB"/>
        </w:rPr>
        <w:t xml:space="preserve"> in partnership with London Councils</w:t>
      </w:r>
      <w:r w:rsidR="00DE7D82" w:rsidRPr="000C39B3">
        <w:rPr>
          <w:rFonts w:cs="Arial"/>
          <w:szCs w:val="24"/>
          <w:lang w:val="en-US" w:eastAsia="en-GB"/>
        </w:rPr>
        <w:t xml:space="preserve"> and th</w:t>
      </w:r>
      <w:r w:rsidRPr="000C39B3">
        <w:rPr>
          <w:rFonts w:cs="Arial"/>
          <w:szCs w:val="24"/>
          <w:lang w:val="en-US" w:eastAsia="en-GB"/>
        </w:rPr>
        <w:t>e</w:t>
      </w:r>
      <w:r w:rsidR="00DE7D82" w:rsidRPr="000C39B3">
        <w:rPr>
          <w:rFonts w:cs="Arial"/>
          <w:szCs w:val="24"/>
          <w:lang w:val="en-US" w:eastAsia="en-GB"/>
        </w:rPr>
        <w:t xml:space="preserve"> London Resilience Forum </w:t>
      </w:r>
      <w:r w:rsidRPr="000C39B3">
        <w:rPr>
          <w:rFonts w:cs="Arial"/>
          <w:szCs w:val="24"/>
          <w:lang w:val="en-US" w:eastAsia="en-GB"/>
        </w:rPr>
        <w:t>(which is made up of London Local Authorities, Emergency Services, Central and Regional Government bodies)</w:t>
      </w:r>
      <w:r w:rsidR="00C36B9F" w:rsidRPr="000C39B3">
        <w:rPr>
          <w:rFonts w:cs="Arial"/>
          <w:szCs w:val="24"/>
          <w:lang w:val="en-US" w:eastAsia="en-GB"/>
        </w:rPr>
        <w:t xml:space="preserve"> in 2018</w:t>
      </w:r>
      <w:r w:rsidRPr="000C39B3">
        <w:rPr>
          <w:rFonts w:cs="Arial"/>
          <w:szCs w:val="24"/>
          <w:lang w:val="en-US" w:eastAsia="en-GB"/>
        </w:rPr>
        <w:t xml:space="preserve">. These criteria have been used </w:t>
      </w:r>
      <w:r w:rsidR="00DE7D82" w:rsidRPr="000C39B3">
        <w:rPr>
          <w:rFonts w:cs="Arial"/>
          <w:szCs w:val="24"/>
          <w:lang w:val="en-US" w:eastAsia="en-GB"/>
        </w:rPr>
        <w:t xml:space="preserve">to understand the distinction between the activity which is being led on at a regional level (such as medicine supply) and that activity where local leadership is required.  This paper focuses on the local arrangements.  </w:t>
      </w:r>
    </w:p>
    <w:p w:rsidR="00A33188" w:rsidRPr="006E7F94" w:rsidRDefault="00A33188" w:rsidP="000C39B3">
      <w:pPr>
        <w:tabs>
          <w:tab w:val="left" w:pos="426"/>
        </w:tabs>
        <w:ind w:left="426" w:hanging="426"/>
        <w:rPr>
          <w:rFonts w:cs="Arial"/>
          <w:szCs w:val="24"/>
        </w:rPr>
      </w:pPr>
    </w:p>
    <w:p w:rsidR="00A33188" w:rsidRPr="000C39B3" w:rsidRDefault="00A33188" w:rsidP="000C39B3">
      <w:pPr>
        <w:pStyle w:val="ListParagraph"/>
        <w:numPr>
          <w:ilvl w:val="0"/>
          <w:numId w:val="27"/>
        </w:numPr>
        <w:tabs>
          <w:tab w:val="left" w:pos="426"/>
        </w:tabs>
        <w:ind w:left="426" w:hanging="426"/>
        <w:rPr>
          <w:rFonts w:cs="Arial"/>
          <w:szCs w:val="24"/>
        </w:rPr>
      </w:pPr>
      <w:r w:rsidRPr="000C39B3">
        <w:rPr>
          <w:rFonts w:cs="Arial"/>
          <w:szCs w:val="24"/>
        </w:rPr>
        <w:t xml:space="preserve">The planning </w:t>
      </w:r>
      <w:r w:rsidR="00030F7E" w:rsidRPr="000C39B3">
        <w:rPr>
          <w:rFonts w:cs="Arial"/>
          <w:szCs w:val="24"/>
        </w:rPr>
        <w:t>criteria</w:t>
      </w:r>
      <w:r w:rsidRPr="000C39B3">
        <w:rPr>
          <w:rFonts w:cs="Arial"/>
          <w:szCs w:val="24"/>
        </w:rPr>
        <w:t xml:space="preserve"> which have been advised by </w:t>
      </w:r>
      <w:r w:rsidR="00030F7E" w:rsidRPr="000C39B3">
        <w:rPr>
          <w:rFonts w:cs="Arial"/>
          <w:szCs w:val="24"/>
        </w:rPr>
        <w:t>MHCLG, Lo</w:t>
      </w:r>
      <w:r w:rsidR="00E5532F" w:rsidRPr="000C39B3">
        <w:rPr>
          <w:rFonts w:cs="Arial"/>
          <w:szCs w:val="24"/>
        </w:rPr>
        <w:t>n</w:t>
      </w:r>
      <w:r w:rsidR="00030F7E" w:rsidRPr="000C39B3">
        <w:rPr>
          <w:rFonts w:cs="Arial"/>
          <w:szCs w:val="24"/>
        </w:rPr>
        <w:t xml:space="preserve">don Councils and the London Resilience Forum </w:t>
      </w:r>
      <w:r w:rsidRPr="000C39B3">
        <w:rPr>
          <w:rFonts w:cs="Arial"/>
          <w:szCs w:val="24"/>
        </w:rPr>
        <w:t>for Local Authorities are as follows:</w:t>
      </w:r>
    </w:p>
    <w:p w:rsidR="00A33188" w:rsidRPr="006E7F94" w:rsidRDefault="00A33188" w:rsidP="000C39B3">
      <w:pPr>
        <w:tabs>
          <w:tab w:val="left" w:pos="426"/>
        </w:tabs>
        <w:ind w:left="426" w:hanging="426"/>
        <w:rPr>
          <w:rFonts w:cs="Arial"/>
          <w:szCs w:val="24"/>
        </w:rPr>
      </w:pPr>
    </w:p>
    <w:p w:rsidR="00BD48F9" w:rsidRPr="006E7F94" w:rsidRDefault="00BD48F9" w:rsidP="000C39B3">
      <w:pPr>
        <w:pStyle w:val="ListParagraph"/>
        <w:numPr>
          <w:ilvl w:val="0"/>
          <w:numId w:val="29"/>
        </w:numPr>
        <w:tabs>
          <w:tab w:val="left" w:pos="426"/>
        </w:tabs>
        <w:ind w:left="851" w:hanging="425"/>
        <w:rPr>
          <w:rFonts w:cs="Arial"/>
          <w:szCs w:val="24"/>
        </w:rPr>
      </w:pPr>
      <w:r w:rsidRPr="006E7F94">
        <w:rPr>
          <w:rFonts w:cs="Arial"/>
          <w:szCs w:val="24"/>
        </w:rPr>
        <w:t xml:space="preserve">Our Communities (EU &amp; EEA) &amp; Settled Status </w:t>
      </w:r>
    </w:p>
    <w:p w:rsidR="00BD48F9" w:rsidRPr="006E7F94" w:rsidRDefault="00BD48F9" w:rsidP="000C39B3">
      <w:pPr>
        <w:pStyle w:val="ListParagraph"/>
        <w:numPr>
          <w:ilvl w:val="0"/>
          <w:numId w:val="29"/>
        </w:numPr>
        <w:tabs>
          <w:tab w:val="left" w:pos="426"/>
        </w:tabs>
        <w:ind w:left="851" w:hanging="425"/>
        <w:rPr>
          <w:rFonts w:cs="Arial"/>
          <w:szCs w:val="24"/>
        </w:rPr>
      </w:pPr>
      <w:r w:rsidRPr="006E7F94">
        <w:rPr>
          <w:rFonts w:cs="Arial"/>
          <w:szCs w:val="24"/>
        </w:rPr>
        <w:t xml:space="preserve">Community Cohesion </w:t>
      </w:r>
    </w:p>
    <w:p w:rsidR="00BD48F9" w:rsidRPr="006E7F94" w:rsidRDefault="00BD48F9" w:rsidP="000C39B3">
      <w:pPr>
        <w:pStyle w:val="ListParagraph"/>
        <w:numPr>
          <w:ilvl w:val="0"/>
          <w:numId w:val="29"/>
        </w:numPr>
        <w:tabs>
          <w:tab w:val="left" w:pos="426"/>
        </w:tabs>
        <w:ind w:left="851" w:hanging="425"/>
        <w:rPr>
          <w:rFonts w:cs="Arial"/>
          <w:szCs w:val="24"/>
        </w:rPr>
      </w:pPr>
      <w:r w:rsidRPr="006E7F94">
        <w:rPr>
          <w:rFonts w:cs="Arial"/>
          <w:szCs w:val="24"/>
        </w:rPr>
        <w:t>Workforce:</w:t>
      </w:r>
    </w:p>
    <w:p w:rsidR="00BD48F9" w:rsidRPr="006E7F94" w:rsidRDefault="00BD48F9" w:rsidP="000C39B3">
      <w:pPr>
        <w:pStyle w:val="ListParagraph"/>
        <w:numPr>
          <w:ilvl w:val="2"/>
          <w:numId w:val="29"/>
        </w:numPr>
        <w:tabs>
          <w:tab w:val="left" w:pos="1276"/>
        </w:tabs>
        <w:ind w:left="1276" w:hanging="283"/>
        <w:jc w:val="both"/>
        <w:rPr>
          <w:rFonts w:cs="Arial"/>
          <w:szCs w:val="24"/>
        </w:rPr>
      </w:pPr>
      <w:r w:rsidRPr="006E7F94">
        <w:rPr>
          <w:rFonts w:cs="Arial"/>
          <w:szCs w:val="24"/>
        </w:rPr>
        <w:t xml:space="preserve">Workforce – Impact of Settled Status   </w:t>
      </w:r>
    </w:p>
    <w:p w:rsidR="00BD48F9" w:rsidRPr="006E7F94" w:rsidRDefault="00BD48F9" w:rsidP="000C39B3">
      <w:pPr>
        <w:pStyle w:val="ListParagraph"/>
        <w:numPr>
          <w:ilvl w:val="2"/>
          <w:numId w:val="29"/>
        </w:numPr>
        <w:tabs>
          <w:tab w:val="left" w:pos="1276"/>
        </w:tabs>
        <w:ind w:left="1276" w:hanging="283"/>
        <w:jc w:val="both"/>
        <w:rPr>
          <w:rFonts w:cs="Arial"/>
          <w:szCs w:val="24"/>
        </w:rPr>
      </w:pPr>
      <w:r w:rsidRPr="006E7F94">
        <w:rPr>
          <w:rFonts w:cs="Arial"/>
          <w:szCs w:val="24"/>
        </w:rPr>
        <w:t>Workforce – Recruitment &amp; Retention (</w:t>
      </w:r>
      <w:proofErr w:type="spellStart"/>
      <w:r w:rsidRPr="006E7F94">
        <w:rPr>
          <w:rFonts w:cs="Arial"/>
          <w:szCs w:val="24"/>
        </w:rPr>
        <w:t>eg</w:t>
      </w:r>
      <w:proofErr w:type="spellEnd"/>
      <w:r w:rsidRPr="006E7F94">
        <w:rPr>
          <w:rFonts w:cs="Arial"/>
          <w:szCs w:val="24"/>
        </w:rPr>
        <w:t xml:space="preserve"> Dom Care) </w:t>
      </w:r>
    </w:p>
    <w:p w:rsidR="00BD48F9" w:rsidRPr="006E7F94" w:rsidRDefault="00BD48F9" w:rsidP="000C39B3">
      <w:pPr>
        <w:pStyle w:val="ListParagraph"/>
        <w:numPr>
          <w:ilvl w:val="0"/>
          <w:numId w:val="29"/>
        </w:numPr>
        <w:tabs>
          <w:tab w:val="left" w:pos="426"/>
        </w:tabs>
        <w:ind w:left="851" w:hanging="425"/>
        <w:rPr>
          <w:rFonts w:cs="Arial"/>
          <w:szCs w:val="24"/>
        </w:rPr>
      </w:pPr>
      <w:r w:rsidRPr="006E7F94">
        <w:rPr>
          <w:rFonts w:cs="Arial"/>
          <w:szCs w:val="24"/>
        </w:rPr>
        <w:t xml:space="preserve">Workforce of Partners  </w:t>
      </w:r>
    </w:p>
    <w:p w:rsidR="00BD48F9" w:rsidRPr="006E7F94" w:rsidRDefault="00BD48F9" w:rsidP="000C39B3">
      <w:pPr>
        <w:pStyle w:val="ListParagraph"/>
        <w:numPr>
          <w:ilvl w:val="0"/>
          <w:numId w:val="29"/>
        </w:numPr>
        <w:tabs>
          <w:tab w:val="left" w:pos="426"/>
        </w:tabs>
        <w:ind w:left="851" w:hanging="425"/>
        <w:rPr>
          <w:rFonts w:cs="Arial"/>
          <w:szCs w:val="24"/>
        </w:rPr>
      </w:pPr>
      <w:r w:rsidRPr="006E7F94">
        <w:rPr>
          <w:rFonts w:cs="Arial"/>
          <w:szCs w:val="24"/>
        </w:rPr>
        <w:t xml:space="preserve">Impact (direct or indirect) of Border Areas </w:t>
      </w:r>
    </w:p>
    <w:p w:rsidR="00BD48F9" w:rsidRPr="006E7F94" w:rsidRDefault="00BD48F9" w:rsidP="000C39B3">
      <w:pPr>
        <w:pStyle w:val="ListParagraph"/>
        <w:numPr>
          <w:ilvl w:val="0"/>
          <w:numId w:val="29"/>
        </w:numPr>
        <w:tabs>
          <w:tab w:val="left" w:pos="426"/>
        </w:tabs>
        <w:ind w:left="851" w:hanging="425"/>
        <w:rPr>
          <w:rFonts w:cs="Arial"/>
          <w:szCs w:val="24"/>
        </w:rPr>
      </w:pPr>
      <w:r w:rsidRPr="006E7F94">
        <w:rPr>
          <w:rFonts w:cs="Arial"/>
          <w:szCs w:val="24"/>
        </w:rPr>
        <w:t xml:space="preserve">Legislation &amp; Regulatory Powers to Deliver Our Services  </w:t>
      </w:r>
    </w:p>
    <w:p w:rsidR="00BD48F9" w:rsidRPr="006E7F94" w:rsidRDefault="00BD48F9" w:rsidP="000C39B3">
      <w:pPr>
        <w:pStyle w:val="ListParagraph"/>
        <w:numPr>
          <w:ilvl w:val="0"/>
          <w:numId w:val="29"/>
        </w:numPr>
        <w:tabs>
          <w:tab w:val="left" w:pos="426"/>
        </w:tabs>
        <w:ind w:left="851" w:hanging="425"/>
        <w:rPr>
          <w:rFonts w:cs="Arial"/>
          <w:szCs w:val="24"/>
        </w:rPr>
      </w:pPr>
      <w:r w:rsidRPr="006E7F94">
        <w:rPr>
          <w:rFonts w:cs="Arial"/>
          <w:szCs w:val="24"/>
        </w:rPr>
        <w:t>Impact on procurement/supply chain</w:t>
      </w:r>
    </w:p>
    <w:p w:rsidR="00BD48F9" w:rsidRPr="006E7F94" w:rsidRDefault="00BD48F9" w:rsidP="000C39B3">
      <w:pPr>
        <w:pStyle w:val="ListParagraph"/>
        <w:numPr>
          <w:ilvl w:val="0"/>
          <w:numId w:val="29"/>
        </w:numPr>
        <w:tabs>
          <w:tab w:val="left" w:pos="426"/>
        </w:tabs>
        <w:ind w:left="851" w:hanging="425"/>
        <w:rPr>
          <w:rFonts w:cs="Arial"/>
          <w:szCs w:val="24"/>
        </w:rPr>
      </w:pPr>
      <w:r w:rsidRPr="006E7F94">
        <w:rPr>
          <w:rFonts w:cs="Arial"/>
          <w:szCs w:val="24"/>
        </w:rPr>
        <w:t xml:space="preserve">Local Business Preparedness </w:t>
      </w:r>
    </w:p>
    <w:p w:rsidR="00BD48F9" w:rsidRPr="006E7F94" w:rsidRDefault="00BD48F9" w:rsidP="000C39B3">
      <w:pPr>
        <w:pStyle w:val="ListParagraph"/>
        <w:numPr>
          <w:ilvl w:val="0"/>
          <w:numId w:val="29"/>
        </w:numPr>
        <w:tabs>
          <w:tab w:val="left" w:pos="426"/>
        </w:tabs>
        <w:ind w:left="851" w:hanging="425"/>
        <w:rPr>
          <w:rFonts w:cs="Arial"/>
          <w:szCs w:val="24"/>
        </w:rPr>
      </w:pPr>
      <w:r w:rsidRPr="006E7F94">
        <w:rPr>
          <w:rFonts w:cs="Arial"/>
          <w:szCs w:val="24"/>
        </w:rPr>
        <w:t xml:space="preserve">Data Handling &amp; Processing  Arrangements </w:t>
      </w:r>
    </w:p>
    <w:p w:rsidR="00A33188" w:rsidRPr="006E7F94" w:rsidRDefault="00BD48F9" w:rsidP="000C39B3">
      <w:pPr>
        <w:pStyle w:val="ListParagraph"/>
        <w:numPr>
          <w:ilvl w:val="0"/>
          <w:numId w:val="29"/>
        </w:numPr>
        <w:tabs>
          <w:tab w:val="left" w:pos="426"/>
        </w:tabs>
        <w:ind w:left="851" w:hanging="425"/>
        <w:rPr>
          <w:rFonts w:cs="Arial"/>
          <w:szCs w:val="24"/>
        </w:rPr>
      </w:pPr>
      <w:r w:rsidRPr="006E7F94">
        <w:rPr>
          <w:rFonts w:cs="Arial"/>
          <w:szCs w:val="24"/>
        </w:rPr>
        <w:t>Reliance/exposure on EU funding</w:t>
      </w:r>
    </w:p>
    <w:p w:rsidR="00BD48F9" w:rsidRPr="006E7F94" w:rsidRDefault="00BD48F9" w:rsidP="000C39B3">
      <w:pPr>
        <w:tabs>
          <w:tab w:val="left" w:pos="426"/>
        </w:tabs>
        <w:ind w:left="851" w:hanging="425"/>
        <w:rPr>
          <w:rFonts w:cs="Arial"/>
          <w:szCs w:val="24"/>
        </w:rPr>
      </w:pPr>
    </w:p>
    <w:p w:rsidR="00A33188" w:rsidRPr="000C39B3" w:rsidRDefault="00A33188" w:rsidP="000C39B3">
      <w:pPr>
        <w:pStyle w:val="ListParagraph"/>
        <w:numPr>
          <w:ilvl w:val="0"/>
          <w:numId w:val="27"/>
        </w:numPr>
        <w:tabs>
          <w:tab w:val="left" w:pos="426"/>
        </w:tabs>
        <w:ind w:left="426" w:hanging="426"/>
        <w:rPr>
          <w:rFonts w:cs="Arial"/>
          <w:szCs w:val="24"/>
        </w:rPr>
      </w:pPr>
      <w:r w:rsidRPr="000C39B3">
        <w:rPr>
          <w:rFonts w:cs="Arial"/>
          <w:szCs w:val="24"/>
        </w:rPr>
        <w:t>Since January 2019, the Council has completed a monthly assessment against these areas</w:t>
      </w:r>
      <w:r w:rsidR="00BD48F9" w:rsidRPr="000C39B3">
        <w:rPr>
          <w:rFonts w:cs="Arial"/>
          <w:szCs w:val="24"/>
        </w:rPr>
        <w:t>, with the latest assessment and actions set out below against each of the headings</w:t>
      </w:r>
      <w:r w:rsidRPr="000C39B3">
        <w:rPr>
          <w:rFonts w:cs="Arial"/>
          <w:szCs w:val="24"/>
        </w:rPr>
        <w:t>.</w:t>
      </w:r>
    </w:p>
    <w:p w:rsidR="00A33188" w:rsidRPr="006E7F94" w:rsidRDefault="00A33188" w:rsidP="000C39B3">
      <w:pPr>
        <w:tabs>
          <w:tab w:val="left" w:pos="426"/>
        </w:tabs>
        <w:ind w:left="426" w:hanging="426"/>
        <w:rPr>
          <w:rFonts w:cs="Arial"/>
          <w:szCs w:val="24"/>
        </w:rPr>
      </w:pPr>
    </w:p>
    <w:p w:rsidR="00BD48F9" w:rsidRPr="000C39B3" w:rsidRDefault="00030F7E" w:rsidP="000C39B3">
      <w:pPr>
        <w:pStyle w:val="ListParagraph"/>
        <w:tabs>
          <w:tab w:val="left" w:pos="426"/>
        </w:tabs>
        <w:ind w:left="426"/>
        <w:rPr>
          <w:rFonts w:cs="Arial"/>
          <w:szCs w:val="24"/>
          <w:u w:val="single"/>
        </w:rPr>
      </w:pPr>
      <w:r w:rsidRPr="000C39B3">
        <w:rPr>
          <w:rFonts w:cs="Arial"/>
          <w:szCs w:val="24"/>
          <w:u w:val="single"/>
        </w:rPr>
        <w:t xml:space="preserve">Our Communities (EU &amp; EEA) </w:t>
      </w:r>
      <w:r w:rsidR="00A33188" w:rsidRPr="000C39B3">
        <w:rPr>
          <w:rFonts w:cs="Arial"/>
          <w:szCs w:val="24"/>
          <w:u w:val="single"/>
        </w:rPr>
        <w:t>&amp; Settled Status</w:t>
      </w:r>
    </w:p>
    <w:p w:rsidR="00BD48F9" w:rsidRPr="006E7F94" w:rsidRDefault="00BD48F9" w:rsidP="000C39B3">
      <w:pPr>
        <w:tabs>
          <w:tab w:val="left" w:pos="426"/>
        </w:tabs>
        <w:ind w:left="426" w:hanging="426"/>
        <w:rPr>
          <w:rFonts w:cs="Arial"/>
          <w:szCs w:val="24"/>
        </w:rPr>
      </w:pPr>
    </w:p>
    <w:p w:rsidR="000C2D5F" w:rsidRPr="000C39B3" w:rsidRDefault="00D15639" w:rsidP="000C39B3">
      <w:pPr>
        <w:pStyle w:val="ListParagraph"/>
        <w:numPr>
          <w:ilvl w:val="0"/>
          <w:numId w:val="27"/>
        </w:numPr>
        <w:tabs>
          <w:tab w:val="left" w:pos="426"/>
        </w:tabs>
        <w:ind w:left="426" w:hanging="426"/>
        <w:rPr>
          <w:rFonts w:cs="Arial"/>
        </w:rPr>
      </w:pPr>
      <w:r w:rsidRPr="000C39B3">
        <w:rPr>
          <w:rFonts w:cs="Arial"/>
          <w:szCs w:val="24"/>
        </w:rPr>
        <w:t xml:space="preserve">Harrow has a significant EU &amp; EEA population </w:t>
      </w:r>
      <w:r w:rsidR="000C2D5F" w:rsidRPr="000C39B3">
        <w:rPr>
          <w:rFonts w:cs="Arial"/>
          <w:szCs w:val="24"/>
        </w:rPr>
        <w:t>and</w:t>
      </w:r>
      <w:r w:rsidRPr="000C39B3">
        <w:rPr>
          <w:rFonts w:cs="Arial"/>
          <w:szCs w:val="24"/>
        </w:rPr>
        <w:t xml:space="preserve"> the </w:t>
      </w:r>
      <w:r w:rsidR="000C2D5F" w:rsidRPr="000C39B3">
        <w:rPr>
          <w:rFonts w:cs="Arial"/>
          <w:szCs w:val="24"/>
        </w:rPr>
        <w:t xml:space="preserve">full </w:t>
      </w:r>
      <w:r w:rsidRPr="000C39B3">
        <w:rPr>
          <w:rFonts w:cs="Arial"/>
          <w:szCs w:val="24"/>
        </w:rPr>
        <w:t>impact of settled status is not yet</w:t>
      </w:r>
      <w:r w:rsidR="000C2D5F" w:rsidRPr="000C39B3">
        <w:rPr>
          <w:rFonts w:cs="Arial"/>
          <w:szCs w:val="24"/>
        </w:rPr>
        <w:t xml:space="preserve"> completely </w:t>
      </w:r>
      <w:r w:rsidRPr="000C39B3">
        <w:rPr>
          <w:rFonts w:cs="Arial"/>
          <w:szCs w:val="24"/>
        </w:rPr>
        <w:t>known, (including the impact of longer term being without status)</w:t>
      </w:r>
      <w:r w:rsidR="000C2D5F" w:rsidRPr="000C39B3">
        <w:rPr>
          <w:rFonts w:cs="Arial"/>
          <w:szCs w:val="24"/>
        </w:rPr>
        <w:t>, However</w:t>
      </w:r>
      <w:r w:rsidR="000C2D5F" w:rsidRPr="000C39B3">
        <w:rPr>
          <w:rFonts w:cs="Arial"/>
        </w:rPr>
        <w:t xml:space="preserve">, according to the </w:t>
      </w:r>
      <w:hyperlink r:id="rId15" w:history="1">
        <w:r w:rsidR="000C2D5F" w:rsidRPr="000C39B3">
          <w:rPr>
            <w:rStyle w:val="Hyperlink"/>
            <w:rFonts w:cs="Arial"/>
            <w:color w:val="auto"/>
            <w:u w:val="none"/>
          </w:rPr>
          <w:t>Home</w:t>
        </w:r>
      </w:hyperlink>
      <w:r w:rsidR="000C2D5F" w:rsidRPr="000C39B3">
        <w:rPr>
          <w:rFonts w:cs="Arial"/>
        </w:rPr>
        <w:t xml:space="preserve"> Offices’ most recent update</w:t>
      </w:r>
      <w:r w:rsidR="000C2D5F" w:rsidRPr="000C39B3">
        <w:rPr>
          <w:rFonts w:cs="Arial"/>
          <w:szCs w:val="24"/>
        </w:rPr>
        <w:t>, a</w:t>
      </w:r>
      <w:r w:rsidR="000C2D5F" w:rsidRPr="000C39B3">
        <w:rPr>
          <w:rFonts w:cs="Arial"/>
        </w:rPr>
        <w:t xml:space="preserve">s of </w:t>
      </w:r>
      <w:r w:rsidR="000C2D5F" w:rsidRPr="000C39B3">
        <w:rPr>
          <w:rFonts w:cs="Arial"/>
          <w:lang w:val="en"/>
        </w:rPr>
        <w:t>31 December 2019</w:t>
      </w:r>
      <w:r w:rsidR="000C2D5F" w:rsidRPr="000C39B3">
        <w:rPr>
          <w:rFonts w:cs="Arial"/>
        </w:rPr>
        <w:t xml:space="preserve"> there were 30,630 Settled Status applications from Harrow, of which approximately 18,000 were recorded from Romanian nationals. This gives us roughly a 10,000 increase in </w:t>
      </w:r>
      <w:r w:rsidR="000C2D5F" w:rsidRPr="000C39B3">
        <w:rPr>
          <w:rFonts w:cs="Arial"/>
        </w:rPr>
        <w:lastRenderedPageBreak/>
        <w:t>applications from August 2019 where there were 19,910 applications and an 8,000 increase of Romanian national applications from 10,000 (again as of August 2019).</w:t>
      </w:r>
    </w:p>
    <w:p w:rsidR="000C2D5F" w:rsidRDefault="000C2D5F" w:rsidP="000C39B3">
      <w:pPr>
        <w:tabs>
          <w:tab w:val="left" w:pos="426"/>
        </w:tabs>
        <w:ind w:left="426" w:hanging="426"/>
        <w:rPr>
          <w:rFonts w:cs="Arial"/>
          <w:szCs w:val="24"/>
        </w:rPr>
      </w:pPr>
    </w:p>
    <w:p w:rsidR="00E2727F" w:rsidRPr="000C39B3" w:rsidRDefault="000C2D5F" w:rsidP="000C39B3">
      <w:pPr>
        <w:pStyle w:val="ListParagraph"/>
        <w:numPr>
          <w:ilvl w:val="0"/>
          <w:numId w:val="27"/>
        </w:numPr>
        <w:tabs>
          <w:tab w:val="left" w:pos="426"/>
        </w:tabs>
        <w:ind w:left="426" w:hanging="426"/>
        <w:rPr>
          <w:rFonts w:cs="Arial"/>
          <w:szCs w:val="24"/>
        </w:rPr>
      </w:pPr>
      <w:r w:rsidRPr="000C39B3">
        <w:rPr>
          <w:rFonts w:cs="Arial"/>
          <w:szCs w:val="24"/>
        </w:rPr>
        <w:t>In terms of actions the Council and other agencies have been taking w</w:t>
      </w:r>
      <w:r w:rsidR="00D15639" w:rsidRPr="000C39B3">
        <w:rPr>
          <w:rFonts w:cs="Arial"/>
          <w:szCs w:val="24"/>
        </w:rPr>
        <w:t xml:space="preserve">e </w:t>
      </w:r>
      <w:r w:rsidR="00FA22DF" w:rsidRPr="000C39B3">
        <w:rPr>
          <w:rFonts w:cs="Arial"/>
          <w:szCs w:val="24"/>
        </w:rPr>
        <w:t>have been</w:t>
      </w:r>
      <w:r w:rsidR="00D15639" w:rsidRPr="000C39B3">
        <w:rPr>
          <w:rFonts w:cs="Arial"/>
          <w:szCs w:val="24"/>
        </w:rPr>
        <w:t xml:space="preserve"> promoting Harrow Law Centre awareness sessions for residents who may be effected/may have queries and </w:t>
      </w:r>
      <w:r w:rsidR="00FA22DF" w:rsidRPr="000C39B3">
        <w:rPr>
          <w:rFonts w:cs="Arial"/>
          <w:szCs w:val="24"/>
        </w:rPr>
        <w:t xml:space="preserve">have also been using </w:t>
      </w:r>
      <w:r w:rsidR="00D15639" w:rsidRPr="000C39B3">
        <w:rPr>
          <w:rFonts w:cs="Arial"/>
          <w:szCs w:val="24"/>
        </w:rPr>
        <w:t xml:space="preserve">the </w:t>
      </w:r>
      <w:r w:rsidR="00FA22DF" w:rsidRPr="000C39B3">
        <w:rPr>
          <w:rFonts w:cs="Arial"/>
          <w:szCs w:val="24"/>
        </w:rPr>
        <w:t>Controlling M</w:t>
      </w:r>
      <w:r w:rsidR="00D15639" w:rsidRPr="000C39B3">
        <w:rPr>
          <w:rFonts w:cs="Arial"/>
          <w:szCs w:val="24"/>
        </w:rPr>
        <w:t>ig</w:t>
      </w:r>
      <w:r w:rsidR="00FA22DF" w:rsidRPr="000C39B3">
        <w:rPr>
          <w:rFonts w:cs="Arial"/>
          <w:szCs w:val="24"/>
        </w:rPr>
        <w:t>r</w:t>
      </w:r>
      <w:r w:rsidR="00D15639" w:rsidRPr="000C39B3">
        <w:rPr>
          <w:rFonts w:cs="Arial"/>
          <w:szCs w:val="24"/>
        </w:rPr>
        <w:t xml:space="preserve">ation </w:t>
      </w:r>
      <w:r w:rsidR="00FA22DF" w:rsidRPr="000C39B3">
        <w:rPr>
          <w:rFonts w:cs="Arial"/>
          <w:szCs w:val="24"/>
        </w:rPr>
        <w:t>F</w:t>
      </w:r>
      <w:r w:rsidR="00D15639" w:rsidRPr="000C39B3">
        <w:rPr>
          <w:rFonts w:cs="Arial"/>
          <w:szCs w:val="24"/>
        </w:rPr>
        <w:t xml:space="preserve">und to create contacts and build networks to support </w:t>
      </w:r>
      <w:r w:rsidR="00FA22DF" w:rsidRPr="000C39B3">
        <w:rPr>
          <w:rFonts w:cs="Arial"/>
          <w:szCs w:val="24"/>
        </w:rPr>
        <w:t>the Council and its relationship specifically with residents from Eastern Europe</w:t>
      </w:r>
      <w:r w:rsidR="00D15639" w:rsidRPr="000C39B3">
        <w:rPr>
          <w:rFonts w:cs="Arial"/>
          <w:szCs w:val="24"/>
        </w:rPr>
        <w:t xml:space="preserve">. In </w:t>
      </w:r>
      <w:r w:rsidR="00E2727F" w:rsidRPr="000C39B3">
        <w:rPr>
          <w:rFonts w:cs="Arial"/>
          <w:szCs w:val="24"/>
        </w:rPr>
        <w:t>January</w:t>
      </w:r>
      <w:r w:rsidR="00D15639" w:rsidRPr="000C39B3">
        <w:rPr>
          <w:rFonts w:cs="Arial"/>
          <w:szCs w:val="24"/>
        </w:rPr>
        <w:t xml:space="preserve"> </w:t>
      </w:r>
      <w:r w:rsidR="00FA22DF" w:rsidRPr="000C39B3">
        <w:rPr>
          <w:rFonts w:cs="Arial"/>
          <w:szCs w:val="24"/>
        </w:rPr>
        <w:t>2020 the Council</w:t>
      </w:r>
      <w:r w:rsidR="00D15639" w:rsidRPr="000C39B3">
        <w:rPr>
          <w:rFonts w:cs="Arial"/>
          <w:szCs w:val="24"/>
        </w:rPr>
        <w:t xml:space="preserve"> held a community event with the Romanian Embassy </w:t>
      </w:r>
      <w:r w:rsidR="00E2727F" w:rsidRPr="000C39B3">
        <w:rPr>
          <w:rFonts w:cs="Arial"/>
          <w:szCs w:val="24"/>
        </w:rPr>
        <w:t>in Burnt Oak Broadway</w:t>
      </w:r>
      <w:r w:rsidR="00FA22DF" w:rsidRPr="000C39B3">
        <w:rPr>
          <w:rFonts w:cs="Arial"/>
          <w:szCs w:val="24"/>
        </w:rPr>
        <w:t>,</w:t>
      </w:r>
      <w:r w:rsidR="00E2727F" w:rsidRPr="000C39B3">
        <w:rPr>
          <w:rFonts w:cs="Arial"/>
          <w:szCs w:val="24"/>
        </w:rPr>
        <w:t xml:space="preserve"> </w:t>
      </w:r>
      <w:r w:rsidR="00FA22DF" w:rsidRPr="000C39B3">
        <w:rPr>
          <w:rFonts w:cs="Arial"/>
          <w:szCs w:val="24"/>
        </w:rPr>
        <w:t xml:space="preserve">targeted at residents from the Eastern European community </w:t>
      </w:r>
      <w:r w:rsidR="00E2727F" w:rsidRPr="000C39B3">
        <w:rPr>
          <w:rFonts w:cs="Arial"/>
          <w:szCs w:val="24"/>
        </w:rPr>
        <w:t>and Settled Status was</w:t>
      </w:r>
      <w:r w:rsidR="00FA22DF" w:rsidRPr="000C39B3">
        <w:rPr>
          <w:rFonts w:cs="Arial"/>
          <w:szCs w:val="24"/>
        </w:rPr>
        <w:t xml:space="preserve"> a topic of discussion, with support signposted</w:t>
      </w:r>
      <w:r w:rsidR="00D15639" w:rsidRPr="000C39B3">
        <w:rPr>
          <w:rFonts w:cs="Arial"/>
          <w:szCs w:val="24"/>
        </w:rPr>
        <w:t xml:space="preserve">. </w:t>
      </w:r>
    </w:p>
    <w:p w:rsidR="00E2727F" w:rsidRDefault="00E2727F" w:rsidP="000C39B3">
      <w:pPr>
        <w:tabs>
          <w:tab w:val="left" w:pos="426"/>
        </w:tabs>
        <w:ind w:left="426" w:hanging="426"/>
        <w:rPr>
          <w:rFonts w:cs="Arial"/>
          <w:szCs w:val="24"/>
        </w:rPr>
      </w:pPr>
    </w:p>
    <w:p w:rsidR="009F5D56" w:rsidRPr="000C39B3" w:rsidRDefault="00E2727F" w:rsidP="000C39B3">
      <w:pPr>
        <w:pStyle w:val="ListParagraph"/>
        <w:numPr>
          <w:ilvl w:val="0"/>
          <w:numId w:val="27"/>
        </w:numPr>
        <w:tabs>
          <w:tab w:val="left" w:pos="426"/>
        </w:tabs>
        <w:ind w:left="426" w:hanging="426"/>
        <w:rPr>
          <w:rFonts w:cs="Arial"/>
          <w:szCs w:val="24"/>
        </w:rPr>
      </w:pPr>
      <w:r w:rsidRPr="000C39B3">
        <w:rPr>
          <w:rFonts w:cs="Arial"/>
          <w:szCs w:val="24"/>
        </w:rPr>
        <w:t xml:space="preserve">We have appointed a fixed term resource to help get the message out about Settled Status to our wider community by engaging with residents and community leaders (including shops and cafes) in areas where we know there are a high number of EU or EEA residents living, particularly in the East of the Borough. </w:t>
      </w:r>
      <w:r w:rsidR="00D15639" w:rsidRPr="000C39B3">
        <w:rPr>
          <w:rFonts w:cs="Arial"/>
          <w:szCs w:val="24"/>
        </w:rPr>
        <w:t xml:space="preserve">We have briefed Council Officers on Settled Status </w:t>
      </w:r>
      <w:r w:rsidRPr="000C39B3">
        <w:rPr>
          <w:rFonts w:cs="Arial"/>
          <w:szCs w:val="24"/>
        </w:rPr>
        <w:t xml:space="preserve">and in particular those services such as </w:t>
      </w:r>
      <w:proofErr w:type="spellStart"/>
      <w:r w:rsidRPr="000C39B3">
        <w:rPr>
          <w:rFonts w:cs="Arial"/>
          <w:szCs w:val="24"/>
        </w:rPr>
        <w:t>Childrens</w:t>
      </w:r>
      <w:proofErr w:type="spellEnd"/>
      <w:r w:rsidRPr="000C39B3">
        <w:rPr>
          <w:rFonts w:cs="Arial"/>
          <w:szCs w:val="24"/>
        </w:rPr>
        <w:t xml:space="preserve"> and Adults who have a responsibility for the Settle</w:t>
      </w:r>
      <w:r w:rsidR="009F5D56" w:rsidRPr="000C39B3">
        <w:rPr>
          <w:rFonts w:cs="Arial"/>
          <w:szCs w:val="24"/>
        </w:rPr>
        <w:t>d</w:t>
      </w:r>
      <w:r w:rsidRPr="000C39B3">
        <w:rPr>
          <w:rFonts w:cs="Arial"/>
          <w:szCs w:val="24"/>
        </w:rPr>
        <w:t xml:space="preserve"> Status Applications of those in our care. </w:t>
      </w:r>
      <w:r w:rsidR="00D15639" w:rsidRPr="000C39B3">
        <w:rPr>
          <w:rFonts w:cs="Arial"/>
          <w:szCs w:val="24"/>
        </w:rPr>
        <w:t>We are also match-funding C</w:t>
      </w:r>
      <w:r w:rsidR="00FA22DF" w:rsidRPr="000C39B3">
        <w:rPr>
          <w:rFonts w:cs="Arial"/>
          <w:szCs w:val="24"/>
        </w:rPr>
        <w:t xml:space="preserve">itizens </w:t>
      </w:r>
      <w:r w:rsidR="00D15639" w:rsidRPr="000C39B3">
        <w:rPr>
          <w:rFonts w:cs="Arial"/>
          <w:szCs w:val="24"/>
        </w:rPr>
        <w:t>A</w:t>
      </w:r>
      <w:r w:rsidR="00FA22DF" w:rsidRPr="000C39B3">
        <w:rPr>
          <w:rFonts w:cs="Arial"/>
          <w:szCs w:val="24"/>
        </w:rPr>
        <w:t>dvice and</w:t>
      </w:r>
      <w:r w:rsidR="00D15639" w:rsidRPr="000C39B3">
        <w:rPr>
          <w:rFonts w:cs="Arial"/>
          <w:szCs w:val="24"/>
        </w:rPr>
        <w:t xml:space="preserve"> Harrow Law Centre to support </w:t>
      </w:r>
      <w:r w:rsidR="00FA22DF" w:rsidRPr="000C39B3">
        <w:rPr>
          <w:rFonts w:cs="Arial"/>
          <w:szCs w:val="24"/>
        </w:rPr>
        <w:t>Harrow</w:t>
      </w:r>
      <w:r w:rsidR="00E06B9E" w:rsidRPr="000C39B3">
        <w:rPr>
          <w:rFonts w:cs="Arial"/>
          <w:szCs w:val="24"/>
        </w:rPr>
        <w:t xml:space="preserve"> residents on S</w:t>
      </w:r>
      <w:r w:rsidR="00D15639" w:rsidRPr="000C39B3">
        <w:rPr>
          <w:rFonts w:cs="Arial"/>
          <w:szCs w:val="24"/>
        </w:rPr>
        <w:t>e</w:t>
      </w:r>
      <w:r w:rsidR="00E06B9E" w:rsidRPr="000C39B3">
        <w:rPr>
          <w:rFonts w:cs="Arial"/>
          <w:szCs w:val="24"/>
        </w:rPr>
        <w:t>t</w:t>
      </w:r>
      <w:r w:rsidR="00D15639" w:rsidRPr="000C39B3">
        <w:rPr>
          <w:rFonts w:cs="Arial"/>
          <w:szCs w:val="24"/>
        </w:rPr>
        <w:t xml:space="preserve">tled </w:t>
      </w:r>
      <w:r w:rsidR="00E06B9E" w:rsidRPr="000C39B3">
        <w:rPr>
          <w:rFonts w:cs="Arial"/>
          <w:szCs w:val="24"/>
        </w:rPr>
        <w:t>S</w:t>
      </w:r>
      <w:r w:rsidR="00D15639" w:rsidRPr="000C39B3">
        <w:rPr>
          <w:rFonts w:cs="Arial"/>
          <w:szCs w:val="24"/>
        </w:rPr>
        <w:t>tatus</w:t>
      </w:r>
      <w:r w:rsidRPr="000C39B3">
        <w:rPr>
          <w:rFonts w:cs="Arial"/>
          <w:szCs w:val="24"/>
        </w:rPr>
        <w:t xml:space="preserve"> (see Finance section) although this funding ends on 31</w:t>
      </w:r>
      <w:r w:rsidRPr="000C39B3">
        <w:rPr>
          <w:rFonts w:cs="Arial"/>
          <w:szCs w:val="24"/>
          <w:vertAlign w:val="superscript"/>
        </w:rPr>
        <w:t>st</w:t>
      </w:r>
      <w:r w:rsidRPr="000C39B3">
        <w:rPr>
          <w:rFonts w:cs="Arial"/>
          <w:szCs w:val="24"/>
        </w:rPr>
        <w:t xml:space="preserve"> March 2020</w:t>
      </w:r>
      <w:r w:rsidR="00E06B9E" w:rsidRPr="000C39B3">
        <w:rPr>
          <w:rFonts w:cs="Arial"/>
          <w:szCs w:val="24"/>
        </w:rPr>
        <w:t>. We are also working with the other infrastructure organisations in the voluntary sector, i.e. Voluntary Action Harrow, Young Harrow Foundation, the Voluntary Sector Forum and Harrow Community Action to support messaging and engagement to other community groups who can support the message out on Settled Status to EU and EEA residents.</w:t>
      </w:r>
    </w:p>
    <w:p w:rsidR="009F5D56" w:rsidRDefault="009F5D56" w:rsidP="000C39B3">
      <w:pPr>
        <w:tabs>
          <w:tab w:val="left" w:pos="426"/>
        </w:tabs>
        <w:ind w:left="426" w:hanging="426"/>
        <w:rPr>
          <w:rFonts w:cs="Arial"/>
          <w:szCs w:val="24"/>
        </w:rPr>
      </w:pPr>
    </w:p>
    <w:p w:rsidR="000C2D5F" w:rsidRPr="000C39B3" w:rsidRDefault="009F5D56" w:rsidP="000C39B3">
      <w:pPr>
        <w:pStyle w:val="ListParagraph"/>
        <w:numPr>
          <w:ilvl w:val="0"/>
          <w:numId w:val="27"/>
        </w:numPr>
        <w:tabs>
          <w:tab w:val="left" w:pos="426"/>
        </w:tabs>
        <w:ind w:left="426" w:hanging="426"/>
        <w:rPr>
          <w:rFonts w:cs="Arial"/>
          <w:szCs w:val="24"/>
        </w:rPr>
      </w:pPr>
      <w:r w:rsidRPr="000C39B3">
        <w:rPr>
          <w:rFonts w:cs="Arial"/>
          <w:szCs w:val="24"/>
        </w:rPr>
        <w:t>As the date for which applications for Settled Status to have been completed is June 2021, it is</w:t>
      </w:r>
      <w:r w:rsidR="00E06B9E" w:rsidRPr="000C39B3">
        <w:rPr>
          <w:rFonts w:cs="Arial"/>
          <w:szCs w:val="24"/>
        </w:rPr>
        <w:t xml:space="preserve"> also</w:t>
      </w:r>
      <w:r w:rsidRPr="000C39B3">
        <w:rPr>
          <w:rFonts w:cs="Arial"/>
          <w:szCs w:val="24"/>
        </w:rPr>
        <w:t xml:space="preserve"> important that the Council starts to consider any implications for residents accessing services post June 2021 where they do not have Settled Status. Although no guidance has been received as yet on what Councils should do, it is clear already that certain functions require proof of residency in order to access services, e.g. tenancies. Therefore it is important that the Council starts to consider what the implications for residents accessing services might be if they require Settled Status and do not have it. For children, safeguarding legislation means that this is not relevant as the Council has a duty to support regardless of nationality. However, for adults, this is not the case, and further work is required to understand how Council</w:t>
      </w:r>
      <w:r w:rsidR="000C2D5F" w:rsidRPr="000C39B3">
        <w:rPr>
          <w:rFonts w:cs="Arial"/>
          <w:szCs w:val="24"/>
        </w:rPr>
        <w:t>s in general</w:t>
      </w:r>
      <w:r w:rsidRPr="000C39B3">
        <w:rPr>
          <w:rFonts w:cs="Arial"/>
          <w:szCs w:val="24"/>
        </w:rPr>
        <w:t xml:space="preserve"> should approach this challenge across all non-universal services.</w:t>
      </w:r>
      <w:r w:rsidR="000C2D5F" w:rsidRPr="000C39B3">
        <w:rPr>
          <w:rFonts w:cs="Arial"/>
          <w:szCs w:val="24"/>
        </w:rPr>
        <w:t xml:space="preserve"> </w:t>
      </w:r>
    </w:p>
    <w:p w:rsidR="000C2D5F" w:rsidRDefault="000C2D5F" w:rsidP="000C39B3">
      <w:pPr>
        <w:tabs>
          <w:tab w:val="left" w:pos="426"/>
        </w:tabs>
        <w:ind w:left="426" w:hanging="426"/>
        <w:rPr>
          <w:rFonts w:cs="Arial"/>
          <w:szCs w:val="24"/>
        </w:rPr>
      </w:pPr>
    </w:p>
    <w:p w:rsidR="009F5D56" w:rsidRPr="000C39B3" w:rsidRDefault="000C2D5F" w:rsidP="000C39B3">
      <w:pPr>
        <w:pStyle w:val="ListParagraph"/>
        <w:numPr>
          <w:ilvl w:val="0"/>
          <w:numId w:val="27"/>
        </w:numPr>
        <w:tabs>
          <w:tab w:val="left" w:pos="426"/>
        </w:tabs>
        <w:ind w:left="426" w:hanging="426"/>
        <w:rPr>
          <w:rFonts w:cs="Arial"/>
          <w:szCs w:val="24"/>
        </w:rPr>
      </w:pPr>
      <w:r w:rsidRPr="000C39B3">
        <w:rPr>
          <w:rFonts w:cs="Arial"/>
          <w:szCs w:val="24"/>
        </w:rPr>
        <w:t xml:space="preserve">On the basis that the impact on access to Council services is a Local Government issue, rather than just a Harrow Council issue, we are asking London Councils and the Local Government Association to consider the impact of Settled Status in this regard before the Council starts work on any policy changes locally.  </w:t>
      </w:r>
    </w:p>
    <w:p w:rsidR="009F5D56" w:rsidRDefault="009F5D56" w:rsidP="000C39B3">
      <w:pPr>
        <w:tabs>
          <w:tab w:val="left" w:pos="426"/>
        </w:tabs>
        <w:ind w:left="426" w:hanging="426"/>
        <w:rPr>
          <w:rFonts w:cs="Arial"/>
          <w:szCs w:val="24"/>
        </w:rPr>
      </w:pPr>
    </w:p>
    <w:p w:rsidR="00A33188" w:rsidRPr="000C39B3" w:rsidRDefault="00030F7E" w:rsidP="000C39B3">
      <w:pPr>
        <w:pStyle w:val="ListParagraph"/>
        <w:numPr>
          <w:ilvl w:val="0"/>
          <w:numId w:val="27"/>
        </w:numPr>
        <w:tabs>
          <w:tab w:val="left" w:pos="426"/>
        </w:tabs>
        <w:ind w:left="426" w:hanging="426"/>
        <w:rPr>
          <w:rFonts w:cs="Arial"/>
          <w:szCs w:val="24"/>
        </w:rPr>
      </w:pPr>
      <w:r w:rsidRPr="000C39B3">
        <w:rPr>
          <w:rFonts w:cs="Arial"/>
          <w:szCs w:val="24"/>
        </w:rPr>
        <w:t>We have assessed the overall risk of this criteria as Amber.</w:t>
      </w:r>
      <w:r w:rsidR="00A33188" w:rsidRPr="000C39B3">
        <w:rPr>
          <w:rFonts w:cs="Arial"/>
          <w:szCs w:val="24"/>
        </w:rPr>
        <w:t xml:space="preserve">  </w:t>
      </w:r>
    </w:p>
    <w:p w:rsidR="00030F7E" w:rsidRPr="006E7F94" w:rsidRDefault="00030F7E" w:rsidP="000C39B3">
      <w:pPr>
        <w:tabs>
          <w:tab w:val="left" w:pos="426"/>
        </w:tabs>
        <w:ind w:left="426" w:hanging="426"/>
        <w:rPr>
          <w:rFonts w:cs="Arial"/>
          <w:szCs w:val="24"/>
        </w:rPr>
      </w:pPr>
    </w:p>
    <w:p w:rsidR="00A33188" w:rsidRPr="000C39B3" w:rsidRDefault="00A33188" w:rsidP="000C39B3">
      <w:pPr>
        <w:pStyle w:val="ListParagraph"/>
        <w:tabs>
          <w:tab w:val="left" w:pos="426"/>
        </w:tabs>
        <w:ind w:left="426"/>
        <w:rPr>
          <w:rFonts w:cs="Arial"/>
          <w:szCs w:val="24"/>
          <w:u w:val="single"/>
        </w:rPr>
      </w:pPr>
      <w:r w:rsidRPr="000C39B3">
        <w:rPr>
          <w:rFonts w:cs="Arial"/>
          <w:szCs w:val="24"/>
          <w:u w:val="single"/>
        </w:rPr>
        <w:lastRenderedPageBreak/>
        <w:t xml:space="preserve">Community Cohesion </w:t>
      </w:r>
    </w:p>
    <w:p w:rsidR="00030F7E" w:rsidRPr="006E7F94" w:rsidRDefault="00030F7E" w:rsidP="000C39B3">
      <w:pPr>
        <w:tabs>
          <w:tab w:val="left" w:pos="426"/>
        </w:tabs>
        <w:ind w:left="426" w:hanging="426"/>
        <w:rPr>
          <w:rFonts w:cs="Arial"/>
          <w:szCs w:val="24"/>
          <w:u w:val="single"/>
        </w:rPr>
      </w:pPr>
    </w:p>
    <w:p w:rsidR="00EA70BB" w:rsidRPr="006E7F94" w:rsidRDefault="00D15639" w:rsidP="000C39B3">
      <w:pPr>
        <w:pStyle w:val="ListParagraph"/>
        <w:numPr>
          <w:ilvl w:val="0"/>
          <w:numId w:val="27"/>
        </w:numPr>
        <w:tabs>
          <w:tab w:val="left" w:pos="426"/>
        </w:tabs>
        <w:ind w:left="426" w:hanging="426"/>
      </w:pPr>
      <w:r w:rsidRPr="000C39B3">
        <w:rPr>
          <w:rFonts w:cs="Arial"/>
          <w:szCs w:val="24"/>
        </w:rPr>
        <w:t>There is concern around the potential for polarisation in the community to be caused in part as a result of the Brexit process</w:t>
      </w:r>
      <w:r w:rsidR="00FA22DF" w:rsidRPr="000C39B3">
        <w:rPr>
          <w:rFonts w:cs="Arial"/>
          <w:szCs w:val="24"/>
        </w:rPr>
        <w:t>.</w:t>
      </w:r>
      <w:r w:rsidRPr="000C39B3">
        <w:rPr>
          <w:rFonts w:cs="Arial"/>
          <w:szCs w:val="24"/>
        </w:rPr>
        <w:t xml:space="preserve"> </w:t>
      </w:r>
      <w:r w:rsidR="00FA22DF" w:rsidRPr="000C39B3">
        <w:rPr>
          <w:rFonts w:cs="Arial"/>
          <w:szCs w:val="24"/>
        </w:rPr>
        <w:t>T</w:t>
      </w:r>
      <w:r w:rsidRPr="000C39B3">
        <w:rPr>
          <w:rFonts w:cs="Arial"/>
          <w:szCs w:val="24"/>
        </w:rPr>
        <w:t xml:space="preserve">here is also concern about the current climate in which there is potential for a rise in hate crimes. </w:t>
      </w:r>
      <w:r w:rsidR="00E2727F" w:rsidRPr="000C39B3">
        <w:rPr>
          <w:rFonts w:cs="Arial"/>
          <w:szCs w:val="24"/>
        </w:rPr>
        <w:t xml:space="preserve">However, to date these concerns have not arisen, and the actual date of leaving the European Union did not create any issues in Harrow from the perspective of Community Cohesion. </w:t>
      </w:r>
      <w:r w:rsidRPr="000C39B3">
        <w:rPr>
          <w:rFonts w:cs="Arial"/>
          <w:szCs w:val="24"/>
        </w:rPr>
        <w:t xml:space="preserve">We have in place measures to ensure engagement with local communities, however the council recognise that hate crimes tend to be significantly under-reported. There are also in addition limited “Go To” points for </w:t>
      </w:r>
      <w:r w:rsidR="00E2727F" w:rsidRPr="000C39B3">
        <w:rPr>
          <w:rFonts w:cs="Arial"/>
          <w:szCs w:val="24"/>
        </w:rPr>
        <w:t>E</w:t>
      </w:r>
      <w:r w:rsidRPr="000C39B3">
        <w:rPr>
          <w:rFonts w:cs="Arial"/>
          <w:szCs w:val="24"/>
        </w:rPr>
        <w:t>astern European nationals in the borough. We have consequently put in place clear signposting to government advice on settled status. Council services have also been briefed on the impact on services of settled status</w:t>
      </w:r>
      <w:r w:rsidR="00FA22DF" w:rsidRPr="000C39B3">
        <w:rPr>
          <w:rFonts w:cs="Arial"/>
          <w:szCs w:val="24"/>
        </w:rPr>
        <w:t xml:space="preserve"> (as set out above)</w:t>
      </w:r>
      <w:r w:rsidRPr="000C39B3">
        <w:rPr>
          <w:rFonts w:cs="Arial"/>
          <w:szCs w:val="24"/>
        </w:rPr>
        <w:t xml:space="preserve">. In </w:t>
      </w:r>
      <w:r w:rsidR="00E2727F" w:rsidRPr="000C39B3">
        <w:rPr>
          <w:rFonts w:cs="Arial"/>
          <w:szCs w:val="24"/>
        </w:rPr>
        <w:t>the 2019 Residents Survey</w:t>
      </w:r>
      <w:r w:rsidRPr="000C39B3">
        <w:rPr>
          <w:rFonts w:cs="Arial"/>
          <w:szCs w:val="24"/>
        </w:rPr>
        <w:t xml:space="preserve"> a score above 75% was achieved when asking residents about their feelings towards neighbours. </w:t>
      </w:r>
      <w:r w:rsidR="00EA70BB" w:rsidRPr="006E7F94">
        <w:t xml:space="preserve">We have assessed the overall risk of this criteria as Amber.  </w:t>
      </w:r>
    </w:p>
    <w:p w:rsidR="00030F7E" w:rsidRPr="006E7F94" w:rsidRDefault="00030F7E" w:rsidP="000C39B3">
      <w:pPr>
        <w:tabs>
          <w:tab w:val="left" w:pos="426"/>
        </w:tabs>
        <w:ind w:left="426" w:hanging="426"/>
      </w:pPr>
    </w:p>
    <w:p w:rsidR="00EA70BB" w:rsidRPr="000C39B3" w:rsidRDefault="00A33188" w:rsidP="000C39B3">
      <w:pPr>
        <w:pStyle w:val="ListParagraph"/>
        <w:tabs>
          <w:tab w:val="left" w:pos="426"/>
        </w:tabs>
        <w:ind w:left="426"/>
        <w:rPr>
          <w:u w:val="single"/>
        </w:rPr>
      </w:pPr>
      <w:r w:rsidRPr="000C39B3">
        <w:rPr>
          <w:u w:val="single"/>
        </w:rPr>
        <w:t>Workforce – Impact of Settled Status</w:t>
      </w:r>
    </w:p>
    <w:p w:rsidR="00EA70BB" w:rsidRPr="006E7F94" w:rsidRDefault="00EA70BB" w:rsidP="000C39B3">
      <w:pPr>
        <w:tabs>
          <w:tab w:val="left" w:pos="426"/>
        </w:tabs>
        <w:ind w:left="426" w:hanging="426"/>
      </w:pPr>
    </w:p>
    <w:p w:rsidR="00A33188" w:rsidRPr="006E7F94" w:rsidRDefault="00D15639" w:rsidP="000C39B3">
      <w:pPr>
        <w:pStyle w:val="ListParagraph"/>
        <w:numPr>
          <w:ilvl w:val="0"/>
          <w:numId w:val="27"/>
        </w:numPr>
        <w:tabs>
          <w:tab w:val="left" w:pos="426"/>
        </w:tabs>
        <w:ind w:left="426" w:hanging="426"/>
      </w:pPr>
      <w:r w:rsidRPr="00D15639">
        <w:t xml:space="preserve">We have not yet got all the data on our staff and applicability of </w:t>
      </w:r>
      <w:r w:rsidR="00FA22DF">
        <w:t>S</w:t>
      </w:r>
      <w:r w:rsidRPr="00D15639">
        <w:t xml:space="preserve">ettled </w:t>
      </w:r>
      <w:r w:rsidR="00FA22DF">
        <w:t>S</w:t>
      </w:r>
      <w:r w:rsidRPr="00D15639">
        <w:t xml:space="preserve">tatus to them. SAP does not record nationality. However in the People Directorate we have audited staff lists and people affected have been advised to apply for settled status and are doing so. Our latest data is that out </w:t>
      </w:r>
      <w:r w:rsidR="00FA22DF">
        <w:t xml:space="preserve">of </w:t>
      </w:r>
      <w:r w:rsidRPr="00D15639">
        <w:t xml:space="preserve">2100 total council staff we do not hold relevant nationality data on 685 staff and for schools the equivalent figures are 3500 and 991. Overall taking the Council and schools combined there are some 343 staff who we definitely know need to apply for </w:t>
      </w:r>
      <w:r w:rsidR="00FA22DF">
        <w:t>S</w:t>
      </w:r>
      <w:r w:rsidRPr="00D15639">
        <w:t xml:space="preserve">ettled </w:t>
      </w:r>
      <w:r w:rsidR="00FA22DF">
        <w:t>S</w:t>
      </w:r>
      <w:r w:rsidRPr="00D15639">
        <w:t>tatus</w:t>
      </w:r>
      <w:r w:rsidR="00FA22DF">
        <w:t xml:space="preserve"> should they wish to stay in the UK after June 2021</w:t>
      </w:r>
      <w:r w:rsidRPr="00D15639">
        <w:t xml:space="preserve">. </w:t>
      </w:r>
      <w:r w:rsidR="00E06B9E" w:rsidRPr="00E06B9E">
        <w:t xml:space="preserve">We have held a number of sessions for staff on Settled Status during December 2019, January and February 2020 to raise awareness and provide advice, both to support them in their interactions with residents and service users (particularly Adults and </w:t>
      </w:r>
      <w:proofErr w:type="spellStart"/>
      <w:r w:rsidR="00E06B9E" w:rsidRPr="00E06B9E">
        <w:t>Childrens</w:t>
      </w:r>
      <w:proofErr w:type="spellEnd"/>
      <w:r w:rsidR="00E06B9E" w:rsidRPr="00E06B9E">
        <w:t xml:space="preserve"> Services) but also to support their own circumstances, as a large number of attendees have been staff who were EU/EEA nationals).</w:t>
      </w:r>
      <w:r w:rsidR="00E06B9E">
        <w:t xml:space="preserve">  </w:t>
      </w:r>
      <w:r w:rsidR="00EA70BB" w:rsidRPr="006E7F94">
        <w:t xml:space="preserve">We have assessed the overall risk of this criteria as </w:t>
      </w:r>
      <w:r w:rsidR="00A33188" w:rsidRPr="006E7F94">
        <w:t>R</w:t>
      </w:r>
      <w:r w:rsidR="00EA70BB" w:rsidRPr="006E7F94">
        <w:t>ed</w:t>
      </w:r>
      <w:r w:rsidR="00A33188" w:rsidRPr="006E7F94">
        <w:t xml:space="preserve"> principally due to </w:t>
      </w:r>
      <w:r w:rsidR="00EA70BB" w:rsidRPr="006E7F94">
        <w:t xml:space="preserve">the fact that the Council does not have nationality details on </w:t>
      </w:r>
      <w:r w:rsidR="00EA70BB" w:rsidRPr="00E06B9E">
        <w:t>685 staff</w:t>
      </w:r>
      <w:r w:rsidR="00A33188" w:rsidRPr="00E06B9E">
        <w:t>.</w:t>
      </w:r>
      <w:r w:rsidR="000C2D5F" w:rsidRPr="00E06B9E">
        <w:t xml:space="preserve"> </w:t>
      </w:r>
    </w:p>
    <w:p w:rsidR="00EA70BB" w:rsidRPr="006E7F94" w:rsidRDefault="00EA70BB" w:rsidP="000C39B3">
      <w:pPr>
        <w:tabs>
          <w:tab w:val="left" w:pos="426"/>
        </w:tabs>
        <w:ind w:left="426" w:hanging="426"/>
      </w:pPr>
    </w:p>
    <w:p w:rsidR="00EA70BB" w:rsidRPr="000C39B3" w:rsidRDefault="00A33188" w:rsidP="000C39B3">
      <w:pPr>
        <w:pStyle w:val="ListParagraph"/>
        <w:tabs>
          <w:tab w:val="left" w:pos="426"/>
        </w:tabs>
        <w:ind w:left="426"/>
        <w:rPr>
          <w:u w:val="single"/>
        </w:rPr>
      </w:pPr>
      <w:r w:rsidRPr="000C39B3">
        <w:rPr>
          <w:u w:val="single"/>
        </w:rPr>
        <w:t>Workforce – Recruit</w:t>
      </w:r>
      <w:r w:rsidR="00EA70BB" w:rsidRPr="000C39B3">
        <w:rPr>
          <w:u w:val="single"/>
        </w:rPr>
        <w:t>ment &amp; Retention</w:t>
      </w:r>
    </w:p>
    <w:p w:rsidR="00EA70BB" w:rsidRPr="006E7F94" w:rsidRDefault="00EA70BB" w:rsidP="000C39B3">
      <w:pPr>
        <w:tabs>
          <w:tab w:val="left" w:pos="426"/>
        </w:tabs>
        <w:ind w:left="426" w:hanging="426"/>
      </w:pPr>
    </w:p>
    <w:p w:rsidR="00A33188" w:rsidRPr="006E7F94" w:rsidRDefault="00E2727F" w:rsidP="000C39B3">
      <w:pPr>
        <w:pStyle w:val="ListParagraph"/>
        <w:numPr>
          <w:ilvl w:val="0"/>
          <w:numId w:val="27"/>
        </w:numPr>
        <w:tabs>
          <w:tab w:val="left" w:pos="426"/>
        </w:tabs>
        <w:ind w:left="426" w:hanging="426"/>
      </w:pPr>
      <w:r>
        <w:t xml:space="preserve">In </w:t>
      </w:r>
      <w:proofErr w:type="spellStart"/>
      <w:r>
        <w:t>Children</w:t>
      </w:r>
      <w:r w:rsidR="00D15639" w:rsidRPr="00D15639">
        <w:t>s</w:t>
      </w:r>
      <w:proofErr w:type="spellEnd"/>
      <w:r w:rsidR="00D15639" w:rsidRPr="00D15639">
        <w:t xml:space="preserve"> </w:t>
      </w:r>
      <w:r>
        <w:t xml:space="preserve">Services there is a risk of </w:t>
      </w:r>
      <w:r w:rsidR="00D15639" w:rsidRPr="00D15639">
        <w:t xml:space="preserve">not being able to recruit from EU countries </w:t>
      </w:r>
      <w:r>
        <w:t xml:space="preserve">that </w:t>
      </w:r>
      <w:r w:rsidR="00D15639" w:rsidRPr="00D15639">
        <w:t xml:space="preserve">would indeed be limiting to </w:t>
      </w:r>
      <w:r>
        <w:t>the service</w:t>
      </w:r>
      <w:r w:rsidR="00D15639" w:rsidRPr="00D15639">
        <w:t xml:space="preserve"> and </w:t>
      </w:r>
      <w:r>
        <w:t>the</w:t>
      </w:r>
      <w:r w:rsidR="00E06B9E">
        <w:t>ir operations (esp. under the £26</w:t>
      </w:r>
      <w:r>
        <w:t>k</w:t>
      </w:r>
      <w:r w:rsidR="00D15639" w:rsidRPr="00D15639">
        <w:t xml:space="preserve"> </w:t>
      </w:r>
      <w:r>
        <w:t xml:space="preserve">salary </w:t>
      </w:r>
      <w:r w:rsidR="00D15639" w:rsidRPr="00D15639">
        <w:t xml:space="preserve">mark). This indicates an amber status for </w:t>
      </w:r>
      <w:r>
        <w:t>the service. In Adult Services</w:t>
      </w:r>
      <w:r w:rsidR="00D15639" w:rsidRPr="00D15639">
        <w:t xml:space="preserve"> research with prov</w:t>
      </w:r>
      <w:r>
        <w:t xml:space="preserve">ider organisations indicates </w:t>
      </w:r>
      <w:r w:rsidR="00D15639" w:rsidRPr="00D15639">
        <w:t xml:space="preserve">that </w:t>
      </w:r>
      <w:r>
        <w:t>they</w:t>
      </w:r>
      <w:r w:rsidR="00D15639" w:rsidRPr="00D15639">
        <w:t xml:space="preserve"> will not have a problem across all sectors in the short term (most have contingency plans in place) but may have a medium term issue in the residential care sector only with the domiciliary care sector indicated as more resilient.  In Housing whilst </w:t>
      </w:r>
      <w:r>
        <w:t xml:space="preserve">they </w:t>
      </w:r>
      <w:r w:rsidR="00D15639" w:rsidRPr="00D15639">
        <w:t xml:space="preserve">have no significant concerns, a concern relates to labour/skills shortages of contractors in the maintenance and development of </w:t>
      </w:r>
      <w:r>
        <w:t xml:space="preserve">the </w:t>
      </w:r>
      <w:r w:rsidR="00D15639" w:rsidRPr="00D15639">
        <w:t>homes</w:t>
      </w:r>
      <w:r>
        <w:t xml:space="preserve"> within Housing Services</w:t>
      </w:r>
      <w:r w:rsidR="00D15639" w:rsidRPr="00D15639">
        <w:t xml:space="preserve">. </w:t>
      </w:r>
      <w:r>
        <w:t xml:space="preserve">The </w:t>
      </w:r>
      <w:r w:rsidR="00D15639" w:rsidRPr="00D15639">
        <w:t xml:space="preserve">WLA </w:t>
      </w:r>
      <w:r>
        <w:t xml:space="preserve">are </w:t>
      </w:r>
      <w:r w:rsidR="00D15639" w:rsidRPr="00D15639">
        <w:t xml:space="preserve">communicating with providers as a group in </w:t>
      </w:r>
      <w:r>
        <w:t xml:space="preserve">a </w:t>
      </w:r>
      <w:r w:rsidR="00D15639" w:rsidRPr="00D15639">
        <w:t xml:space="preserve">hope to receive a clearer and more detailed response when asking about their </w:t>
      </w:r>
      <w:r w:rsidR="00D15639" w:rsidRPr="00D15639">
        <w:lastRenderedPageBreak/>
        <w:t xml:space="preserve">Brexit preparedness.  </w:t>
      </w:r>
      <w:r w:rsidR="00CC590F" w:rsidRPr="006E7F94">
        <w:t xml:space="preserve"> We have assessed the overall risk of this criteria as </w:t>
      </w:r>
      <w:r w:rsidR="00A33188" w:rsidRPr="006E7F94">
        <w:t>AMBER.</w:t>
      </w:r>
    </w:p>
    <w:p w:rsidR="00CC590F" w:rsidRPr="006E7F94" w:rsidRDefault="00CC590F" w:rsidP="000C39B3">
      <w:pPr>
        <w:tabs>
          <w:tab w:val="left" w:pos="426"/>
        </w:tabs>
        <w:ind w:left="426" w:hanging="426"/>
      </w:pPr>
    </w:p>
    <w:p w:rsidR="00CC590F" w:rsidRPr="000C39B3" w:rsidRDefault="00A33188" w:rsidP="000C39B3">
      <w:pPr>
        <w:pStyle w:val="ListParagraph"/>
        <w:tabs>
          <w:tab w:val="left" w:pos="426"/>
        </w:tabs>
        <w:ind w:left="426"/>
        <w:rPr>
          <w:u w:val="single"/>
        </w:rPr>
      </w:pPr>
      <w:r w:rsidRPr="000C39B3">
        <w:rPr>
          <w:u w:val="single"/>
        </w:rPr>
        <w:t>Workforce of Partners</w:t>
      </w:r>
    </w:p>
    <w:p w:rsidR="00CC590F" w:rsidRPr="006E7F94" w:rsidRDefault="00CC590F" w:rsidP="000C39B3">
      <w:pPr>
        <w:tabs>
          <w:tab w:val="left" w:pos="426"/>
        </w:tabs>
        <w:ind w:left="426" w:hanging="426"/>
      </w:pPr>
    </w:p>
    <w:p w:rsidR="00CC590F" w:rsidRPr="006E7F94" w:rsidRDefault="00D15639" w:rsidP="000C39B3">
      <w:pPr>
        <w:pStyle w:val="ListParagraph"/>
        <w:numPr>
          <w:ilvl w:val="0"/>
          <w:numId w:val="27"/>
        </w:numPr>
        <w:tabs>
          <w:tab w:val="left" w:pos="426"/>
        </w:tabs>
        <w:ind w:left="426" w:hanging="426"/>
      </w:pPr>
      <w:r w:rsidRPr="00D15639">
        <w:t xml:space="preserve">The risk to the Council is indirect and our ability to manage the risk is dependent on information being provided to us as the Council does </w:t>
      </w:r>
      <w:r w:rsidR="00FA22DF">
        <w:t xml:space="preserve">not </w:t>
      </w:r>
      <w:r w:rsidRPr="00D15639">
        <w:t>hold/collect this information (on nationality) on partners. Partners means other public sector or similar organisations we work with including the voluntary sector, adults/children’s care home providers, the NHS and Police.  The WLA is looking at some of the jointly commissioned services and possible impact. It is indicated (incl. feedback from the Borough Resilience Forum) that this risk is AMBER for the short-term though could increase in significance in the longer term, particularly in relation to Adults Social Care costs.</w:t>
      </w:r>
    </w:p>
    <w:p w:rsidR="00FA22DF" w:rsidRDefault="00FA22DF" w:rsidP="000C39B3">
      <w:pPr>
        <w:tabs>
          <w:tab w:val="left" w:pos="426"/>
        </w:tabs>
        <w:ind w:left="426" w:hanging="426"/>
        <w:rPr>
          <w:u w:val="single"/>
        </w:rPr>
      </w:pPr>
    </w:p>
    <w:p w:rsidR="00CC590F" w:rsidRPr="000C39B3" w:rsidRDefault="00A33188" w:rsidP="000C39B3">
      <w:pPr>
        <w:pStyle w:val="ListParagraph"/>
        <w:tabs>
          <w:tab w:val="left" w:pos="426"/>
        </w:tabs>
        <w:ind w:left="426"/>
        <w:rPr>
          <w:u w:val="single"/>
        </w:rPr>
      </w:pPr>
      <w:r w:rsidRPr="000C39B3">
        <w:rPr>
          <w:u w:val="single"/>
        </w:rPr>
        <w:t xml:space="preserve">Impact (direct or indirect) of Border Areas </w:t>
      </w:r>
    </w:p>
    <w:p w:rsidR="00CC590F" w:rsidRPr="006E7F94" w:rsidRDefault="00CC590F" w:rsidP="000C39B3">
      <w:pPr>
        <w:tabs>
          <w:tab w:val="left" w:pos="426"/>
        </w:tabs>
        <w:ind w:left="426" w:hanging="426"/>
      </w:pPr>
    </w:p>
    <w:p w:rsidR="00A33188" w:rsidRPr="006E7F94" w:rsidRDefault="00D15639" w:rsidP="000C39B3">
      <w:pPr>
        <w:pStyle w:val="ListParagraph"/>
        <w:numPr>
          <w:ilvl w:val="0"/>
          <w:numId w:val="27"/>
        </w:numPr>
        <w:tabs>
          <w:tab w:val="left" w:pos="426"/>
        </w:tabs>
        <w:ind w:left="426" w:hanging="426"/>
      </w:pPr>
      <w:r w:rsidRPr="00D15639">
        <w:t xml:space="preserve">Harrow does not have any physical border areas within the borough, so there are no direct impacts envisaged at this stage.  However, Harrow does have some indirect border areas that could affect the borough, </w:t>
      </w:r>
      <w:proofErr w:type="spellStart"/>
      <w:r w:rsidRPr="00D15639">
        <w:t>eg</w:t>
      </w:r>
      <w:proofErr w:type="spellEnd"/>
      <w:r w:rsidRPr="00D15639">
        <w:t xml:space="preserve"> the Eurostar terminal at KC St Pancras is on the Metropolitan Line that passes through Harrow.  Also, Heathrow Airport is located in the London Borough of Hillingdon.  </w:t>
      </w:r>
      <w:r w:rsidR="00E2727F">
        <w:t>Depending on how the Transition Period ends</w:t>
      </w:r>
      <w:r w:rsidRPr="00D15639">
        <w:t xml:space="preserve"> there could be a knock on effect on Harrow, with increased traffic in these areas and surrounding arterial routes such as the M25/M40/ M1. </w:t>
      </w:r>
      <w:r w:rsidR="00CC590F" w:rsidRPr="006E7F94">
        <w:t>We have assessed the overall risk of this criteria as A</w:t>
      </w:r>
      <w:r w:rsidR="00DC3571" w:rsidRPr="006E7F94">
        <w:t>mber</w:t>
      </w:r>
      <w:r w:rsidR="00CC590F" w:rsidRPr="006E7F94">
        <w:t xml:space="preserve"> due to the unknown situation regarding border controls</w:t>
      </w:r>
      <w:r w:rsidR="00DC3571" w:rsidRPr="006E7F94">
        <w:t>, but recognising that our own contingency plans do not explicitly have to deal with such a risk.</w:t>
      </w:r>
    </w:p>
    <w:p w:rsidR="00DC3571" w:rsidRPr="006E7F94" w:rsidRDefault="00DC3571" w:rsidP="000C39B3">
      <w:pPr>
        <w:tabs>
          <w:tab w:val="left" w:pos="426"/>
        </w:tabs>
        <w:ind w:left="426" w:hanging="426"/>
      </w:pPr>
    </w:p>
    <w:p w:rsidR="00DC3571" w:rsidRPr="000C39B3" w:rsidRDefault="00A33188" w:rsidP="000C39B3">
      <w:pPr>
        <w:pStyle w:val="ListParagraph"/>
        <w:tabs>
          <w:tab w:val="left" w:pos="426"/>
        </w:tabs>
        <w:ind w:left="426"/>
        <w:rPr>
          <w:u w:val="single"/>
        </w:rPr>
      </w:pPr>
      <w:r w:rsidRPr="000C39B3">
        <w:rPr>
          <w:u w:val="single"/>
        </w:rPr>
        <w:t>Legislation &amp; Regulatory Powers to Deliver</w:t>
      </w:r>
      <w:r w:rsidR="00DC3571" w:rsidRPr="000C39B3">
        <w:rPr>
          <w:u w:val="single"/>
        </w:rPr>
        <w:t xml:space="preserve"> Our Services</w:t>
      </w:r>
    </w:p>
    <w:p w:rsidR="00DC3571" w:rsidRPr="006E7F94" w:rsidRDefault="00DC3571" w:rsidP="000C39B3">
      <w:pPr>
        <w:tabs>
          <w:tab w:val="left" w:pos="426"/>
        </w:tabs>
        <w:ind w:left="426" w:hanging="426"/>
      </w:pPr>
    </w:p>
    <w:p w:rsidR="00A33188" w:rsidRPr="006E7F94" w:rsidRDefault="00D15639" w:rsidP="000C39B3">
      <w:pPr>
        <w:pStyle w:val="ListParagraph"/>
        <w:numPr>
          <w:ilvl w:val="0"/>
          <w:numId w:val="27"/>
        </w:numPr>
        <w:tabs>
          <w:tab w:val="left" w:pos="426"/>
        </w:tabs>
        <w:ind w:left="426" w:hanging="426"/>
      </w:pPr>
      <w:r w:rsidRPr="00D15639">
        <w:t xml:space="preserve">The situation is being monitored by the relevant regulators (e.g. Food Standards Agency) who will advise us and we are currently in communication with the main statutory bodies (FSA, HSE, DEFRA) to understand </w:t>
      </w:r>
      <w:r w:rsidR="00FA22DF">
        <w:t>the</w:t>
      </w:r>
      <w:r w:rsidRPr="00D15639">
        <w:t xml:space="preserve"> situation </w:t>
      </w:r>
      <w:r w:rsidR="00FA22DF">
        <w:t xml:space="preserve">with </w:t>
      </w:r>
      <w:r w:rsidRPr="00D15639">
        <w:t>re</w:t>
      </w:r>
      <w:r w:rsidR="00FA22DF">
        <w:t>gards the</w:t>
      </w:r>
      <w:r w:rsidRPr="00D15639">
        <w:t xml:space="preserve"> legislation we enforce</w:t>
      </w:r>
      <w:r w:rsidR="00FA22DF">
        <w:t xml:space="preserve"> locally</w:t>
      </w:r>
      <w:r w:rsidRPr="00D15639">
        <w:t>.  H</w:t>
      </w:r>
      <w:r w:rsidR="00FA22DF">
        <w:t xml:space="preserve">ealth and Safety </w:t>
      </w:r>
      <w:r w:rsidRPr="00D15639">
        <w:t>and</w:t>
      </w:r>
      <w:r w:rsidR="007B24A7">
        <w:t xml:space="preserve"> related </w:t>
      </w:r>
      <w:r w:rsidRPr="00D15639">
        <w:t>enforcement</w:t>
      </w:r>
      <w:r w:rsidR="000C39B3">
        <w:t xml:space="preserve"> </w:t>
      </w:r>
      <w:r w:rsidR="007B24A7">
        <w:t xml:space="preserve">is largely unaffected </w:t>
      </w:r>
      <w:r w:rsidRPr="00D15639">
        <w:t xml:space="preserve">, as most is UK legislation.  Food Safety / Standards </w:t>
      </w:r>
      <w:r w:rsidR="00FA22DF">
        <w:t xml:space="preserve">are </w:t>
      </w:r>
      <w:r w:rsidRPr="00D15639">
        <w:t>linked to EU legislation</w:t>
      </w:r>
      <w:r w:rsidR="00FA22DF">
        <w:t xml:space="preserve"> and there may be changes to these on the basis of a desire from the UK Government to reduce alignment with current EU rules when the Transition Period ends.</w:t>
      </w:r>
      <w:r w:rsidRPr="00D15639">
        <w:t xml:space="preserve">  London and National discussions </w:t>
      </w:r>
      <w:r w:rsidR="007B24A7">
        <w:t xml:space="preserve">are </w:t>
      </w:r>
      <w:r w:rsidRPr="00D15639">
        <w:t xml:space="preserve">taking place. Waste and Environmental Legislation is predominantly EU based, however there is a Brexit task force made up of key stakeholders within the waste and environment sector that have advised that initially EU legislation would be adopted. The real impact around waste would be the impact on the ports and exporting waste for disposal / recovery. This is being mitigated via our disposal outlets as best as possible. </w:t>
      </w:r>
      <w:r w:rsidR="00DC3571" w:rsidRPr="006E7F94">
        <w:t xml:space="preserve">We have assessed the overall risk of this criteria as </w:t>
      </w:r>
      <w:r w:rsidR="00A33188" w:rsidRPr="006E7F94">
        <w:t>A</w:t>
      </w:r>
      <w:r w:rsidR="00DC3571" w:rsidRPr="006E7F94">
        <w:t>mber.</w:t>
      </w:r>
      <w:r w:rsidR="00A33188" w:rsidRPr="006E7F94">
        <w:t xml:space="preserve"> </w:t>
      </w:r>
    </w:p>
    <w:p w:rsidR="00DC3571" w:rsidRPr="006E7F94" w:rsidRDefault="00DC3571" w:rsidP="000C39B3">
      <w:pPr>
        <w:tabs>
          <w:tab w:val="left" w:pos="426"/>
        </w:tabs>
        <w:ind w:left="426" w:hanging="426"/>
      </w:pPr>
    </w:p>
    <w:p w:rsidR="00DC3571" w:rsidRPr="000C39B3" w:rsidRDefault="00A33188" w:rsidP="000C39B3">
      <w:pPr>
        <w:pStyle w:val="ListParagraph"/>
        <w:tabs>
          <w:tab w:val="left" w:pos="426"/>
        </w:tabs>
        <w:ind w:left="426"/>
        <w:rPr>
          <w:u w:val="single"/>
        </w:rPr>
      </w:pPr>
      <w:r w:rsidRPr="000C39B3">
        <w:rPr>
          <w:u w:val="single"/>
        </w:rPr>
        <w:t>Imp</w:t>
      </w:r>
      <w:r w:rsidR="00DC3571" w:rsidRPr="000C39B3">
        <w:rPr>
          <w:u w:val="single"/>
        </w:rPr>
        <w:t>act on procurement/supply chain</w:t>
      </w:r>
    </w:p>
    <w:p w:rsidR="00DC3571" w:rsidRPr="006E7F94" w:rsidRDefault="00DC3571" w:rsidP="000C39B3">
      <w:pPr>
        <w:tabs>
          <w:tab w:val="left" w:pos="426"/>
        </w:tabs>
        <w:ind w:left="426" w:hanging="426"/>
      </w:pPr>
    </w:p>
    <w:p w:rsidR="00DC3571" w:rsidRPr="006E7F94" w:rsidRDefault="00D15639" w:rsidP="000C39B3">
      <w:pPr>
        <w:pStyle w:val="ListParagraph"/>
        <w:numPr>
          <w:ilvl w:val="0"/>
          <w:numId w:val="27"/>
        </w:numPr>
        <w:tabs>
          <w:tab w:val="left" w:pos="426"/>
        </w:tabs>
        <w:ind w:left="426" w:hanging="426"/>
      </w:pPr>
      <w:r w:rsidRPr="00D15639">
        <w:lastRenderedPageBreak/>
        <w:t xml:space="preserve">Locally this risk is considered green but we are reluctant to change it from Amber because of London wide risks, the unknown strategic positioning of organisations in our supply chain and also because of the political uncertainty around Brexit. Through our procurement programme we have not experienced a situation where Brexit risk has been built into tender responses. Bidders have not asked explicit questions about potential risks. However there is still a degree of wider risk and the unknown that guides the AMBER RAG status for the impact of Brexit on supply chain. With a large regeneration programme we also need to be diligent of the resource risks to the construction industry’s reliance on foreign labour in London – 45% from abroad (27% from the EU); Imports: 68% of imported materials are from the EU. Supply chain import costs could increase if the pound weakens. </w:t>
      </w:r>
      <w:r w:rsidR="00DC3571" w:rsidRPr="006E7F94">
        <w:t xml:space="preserve">We have assessed the overall risk of this criteria as Amber. </w:t>
      </w:r>
    </w:p>
    <w:p w:rsidR="00DC3571" w:rsidRPr="006E7F94" w:rsidRDefault="00DC3571" w:rsidP="000C39B3">
      <w:pPr>
        <w:tabs>
          <w:tab w:val="left" w:pos="426"/>
        </w:tabs>
        <w:ind w:left="426" w:hanging="426"/>
      </w:pPr>
    </w:p>
    <w:p w:rsidR="00DC3571" w:rsidRPr="006E7F94" w:rsidRDefault="00A33188" w:rsidP="000C39B3">
      <w:pPr>
        <w:pStyle w:val="ListParagraph"/>
        <w:tabs>
          <w:tab w:val="left" w:pos="426"/>
        </w:tabs>
        <w:ind w:left="426"/>
      </w:pPr>
      <w:r w:rsidRPr="000C39B3">
        <w:rPr>
          <w:u w:val="single"/>
        </w:rPr>
        <w:t>Local Business Preparedness</w:t>
      </w:r>
      <w:r w:rsidRPr="006E7F94">
        <w:t xml:space="preserve"> </w:t>
      </w:r>
      <w:r w:rsidRPr="006E7F94">
        <w:tab/>
      </w:r>
    </w:p>
    <w:p w:rsidR="00DC3571" w:rsidRPr="006E7F94" w:rsidRDefault="00DC3571" w:rsidP="000C39B3">
      <w:pPr>
        <w:tabs>
          <w:tab w:val="left" w:pos="426"/>
        </w:tabs>
        <w:ind w:left="426" w:hanging="426"/>
      </w:pPr>
    </w:p>
    <w:p w:rsidR="00DC3571" w:rsidRDefault="007C3625" w:rsidP="000C39B3">
      <w:pPr>
        <w:pStyle w:val="ListParagraph"/>
        <w:numPr>
          <w:ilvl w:val="0"/>
          <w:numId w:val="27"/>
        </w:numPr>
        <w:tabs>
          <w:tab w:val="left" w:pos="426"/>
        </w:tabs>
        <w:ind w:left="426" w:hanging="426"/>
      </w:pPr>
      <w:r w:rsidRPr="006E7F94">
        <w:t>The Large Employer Network</w:t>
      </w:r>
      <w:r w:rsidR="00A33188" w:rsidRPr="006E7F94">
        <w:t xml:space="preserve"> </w:t>
      </w:r>
      <w:r w:rsidR="00D15639" w:rsidRPr="00D15639">
        <w:t>members have acknowledged the continuing uncertainty of the Brexit situation and its effects on business although no adverse effects</w:t>
      </w:r>
      <w:r w:rsidR="00FA22DF">
        <w:t xml:space="preserve"> are</w:t>
      </w:r>
      <w:r w:rsidR="00D15639" w:rsidRPr="00D15639">
        <w:t xml:space="preserve"> being reported. Via our grass-roots contacts, both formal and informal, a “business as usual” attitude is in place whilst the issue is still unresolved. Economic Development provides Brexit- information via the monthly local business newsletter and will resume running Brexit-related events </w:t>
      </w:r>
      <w:r w:rsidR="00FA22DF">
        <w:t>in 2020</w:t>
      </w:r>
      <w:r w:rsidR="00D15639" w:rsidRPr="00D15639">
        <w:t xml:space="preserve">. </w:t>
      </w:r>
      <w:r w:rsidR="00FA22DF">
        <w:t xml:space="preserve">We are also intending </w:t>
      </w:r>
      <w:r w:rsidR="00D15639" w:rsidRPr="00D15639">
        <w:t>to implement some signposting on the council’s website to the .</w:t>
      </w:r>
      <w:proofErr w:type="spellStart"/>
      <w:r w:rsidR="00D15639" w:rsidRPr="00D15639">
        <w:t>Gov</w:t>
      </w:r>
      <w:proofErr w:type="spellEnd"/>
      <w:r w:rsidR="00D15639" w:rsidRPr="00D15639">
        <w:t xml:space="preserve"> documents around </w:t>
      </w:r>
      <w:r w:rsidR="00E2727F">
        <w:t>supporting the preparation of</w:t>
      </w:r>
      <w:r w:rsidR="00D15639" w:rsidRPr="00D15639">
        <w:t xml:space="preserve"> businesses. </w:t>
      </w:r>
      <w:r w:rsidR="00DC3571">
        <w:t xml:space="preserve">We have assessed the overall risk of this criteria as Amber. </w:t>
      </w:r>
    </w:p>
    <w:p w:rsidR="00DC3571" w:rsidRDefault="00DC3571" w:rsidP="000C39B3">
      <w:pPr>
        <w:tabs>
          <w:tab w:val="left" w:pos="426"/>
        </w:tabs>
        <w:ind w:left="426" w:hanging="426"/>
      </w:pPr>
    </w:p>
    <w:p w:rsidR="007C6BB5" w:rsidRPr="000C39B3" w:rsidRDefault="00A33188" w:rsidP="000C39B3">
      <w:pPr>
        <w:pStyle w:val="ListParagraph"/>
        <w:tabs>
          <w:tab w:val="left" w:pos="426"/>
        </w:tabs>
        <w:ind w:left="426"/>
        <w:rPr>
          <w:u w:val="single"/>
        </w:rPr>
      </w:pPr>
      <w:r w:rsidRPr="000C39B3">
        <w:rPr>
          <w:u w:val="single"/>
        </w:rPr>
        <w:t>Data Hand</w:t>
      </w:r>
      <w:r w:rsidR="007C6BB5" w:rsidRPr="000C39B3">
        <w:rPr>
          <w:u w:val="single"/>
        </w:rPr>
        <w:t>ling &amp; Processing Arrangements</w:t>
      </w:r>
    </w:p>
    <w:p w:rsidR="007C6BB5" w:rsidRDefault="007C6BB5" w:rsidP="000C39B3">
      <w:pPr>
        <w:tabs>
          <w:tab w:val="left" w:pos="426"/>
        </w:tabs>
        <w:ind w:left="426" w:hanging="426"/>
      </w:pPr>
    </w:p>
    <w:p w:rsidR="007C6BB5" w:rsidRDefault="00D15639" w:rsidP="000C39B3">
      <w:pPr>
        <w:pStyle w:val="ListParagraph"/>
        <w:numPr>
          <w:ilvl w:val="0"/>
          <w:numId w:val="27"/>
        </w:numPr>
        <w:tabs>
          <w:tab w:val="left" w:pos="426"/>
        </w:tabs>
        <w:ind w:left="426" w:hanging="426"/>
      </w:pPr>
      <w:r w:rsidRPr="00D15639">
        <w:t xml:space="preserve">Minor potential impact in holding data in EU servers but can be mitigated with European Commission standard contractual clauses if the UK does not receive an adequacy statement. In the case of a no deal there will be no standing down of good governance relating to the processing of data. If a deal is reached </w:t>
      </w:r>
      <w:r w:rsidR="00FA22DF">
        <w:t xml:space="preserve">after the Transition Period ends </w:t>
      </w:r>
      <w:r w:rsidRPr="00D15639">
        <w:t xml:space="preserve">it is expected that the Data Protection Act 2018 will receive minor amendments to remove EU references but nothing that would adversely affect council business. </w:t>
      </w:r>
      <w:r w:rsidR="007C6BB5">
        <w:t xml:space="preserve">We have assessed the overall risk of this criteria as Amber/Green. </w:t>
      </w:r>
    </w:p>
    <w:p w:rsidR="007C6BB5" w:rsidRDefault="007C6BB5" w:rsidP="000C39B3">
      <w:pPr>
        <w:tabs>
          <w:tab w:val="left" w:pos="426"/>
        </w:tabs>
        <w:ind w:left="426" w:hanging="426"/>
      </w:pPr>
    </w:p>
    <w:p w:rsidR="007C6BB5" w:rsidRPr="000C39B3" w:rsidRDefault="007C6BB5" w:rsidP="000C39B3">
      <w:pPr>
        <w:pStyle w:val="ListParagraph"/>
        <w:tabs>
          <w:tab w:val="left" w:pos="426"/>
        </w:tabs>
        <w:ind w:left="426"/>
        <w:rPr>
          <w:u w:val="single"/>
        </w:rPr>
      </w:pPr>
      <w:r w:rsidRPr="000C39B3">
        <w:rPr>
          <w:u w:val="single"/>
        </w:rPr>
        <w:t>Reliance/exposure on EU funding</w:t>
      </w:r>
    </w:p>
    <w:p w:rsidR="007C6BB5" w:rsidRDefault="007C6BB5" w:rsidP="000C39B3">
      <w:pPr>
        <w:tabs>
          <w:tab w:val="left" w:pos="426"/>
        </w:tabs>
        <w:ind w:left="426" w:hanging="426"/>
      </w:pPr>
    </w:p>
    <w:p w:rsidR="005D55D1" w:rsidRDefault="007C6BB5" w:rsidP="000C39B3">
      <w:pPr>
        <w:pStyle w:val="ListParagraph"/>
        <w:numPr>
          <w:ilvl w:val="0"/>
          <w:numId w:val="27"/>
        </w:numPr>
        <w:tabs>
          <w:tab w:val="left" w:pos="426"/>
        </w:tabs>
        <w:ind w:left="426" w:hanging="426"/>
      </w:pPr>
      <w:r>
        <w:t xml:space="preserve">There is a </w:t>
      </w:r>
      <w:r w:rsidR="00A33188">
        <w:t>Gov</w:t>
      </w:r>
      <w:r>
        <w:t xml:space="preserve">ernment </w:t>
      </w:r>
      <w:r w:rsidR="00A33188">
        <w:t xml:space="preserve">guarantee in place to cover European Social Fund Projects (2014-2020) so </w:t>
      </w:r>
      <w:r>
        <w:t>we have assessed the overall risk of this to be</w:t>
      </w:r>
      <w:r w:rsidR="00A33188">
        <w:t xml:space="preserve"> G</w:t>
      </w:r>
      <w:r>
        <w:t>reen.</w:t>
      </w:r>
      <w:r w:rsidR="00A33188">
        <w:t xml:space="preserve"> </w:t>
      </w:r>
      <w:r w:rsidR="00A33188">
        <w:cr/>
      </w:r>
    </w:p>
    <w:p w:rsidR="00284127" w:rsidRDefault="00284127" w:rsidP="000C39B3">
      <w:pPr>
        <w:pStyle w:val="Heading2"/>
        <w:tabs>
          <w:tab w:val="left" w:pos="426"/>
        </w:tabs>
        <w:ind w:left="426" w:hanging="426"/>
      </w:pPr>
    </w:p>
    <w:p w:rsidR="00284127" w:rsidRDefault="00284127" w:rsidP="000C39B3">
      <w:pPr>
        <w:pStyle w:val="Heading2"/>
        <w:tabs>
          <w:tab w:val="left" w:pos="426"/>
        </w:tabs>
        <w:rPr>
          <w:color w:val="FF0000"/>
        </w:rPr>
      </w:pPr>
      <w:r>
        <w:t>Options considered</w:t>
      </w:r>
      <w:r>
        <w:rPr>
          <w:color w:val="FF0000"/>
        </w:rPr>
        <w:t xml:space="preserve"> </w:t>
      </w:r>
    </w:p>
    <w:p w:rsidR="00284127" w:rsidRPr="00887EB7" w:rsidRDefault="00284127" w:rsidP="000C39B3">
      <w:pPr>
        <w:tabs>
          <w:tab w:val="left" w:pos="426"/>
        </w:tabs>
        <w:ind w:left="426" w:hanging="426"/>
      </w:pPr>
    </w:p>
    <w:p w:rsidR="0054590F" w:rsidRDefault="00E5532F" w:rsidP="000C39B3">
      <w:pPr>
        <w:pStyle w:val="ListParagraph"/>
        <w:numPr>
          <w:ilvl w:val="0"/>
          <w:numId w:val="27"/>
        </w:numPr>
        <w:tabs>
          <w:tab w:val="left" w:pos="426"/>
        </w:tabs>
        <w:ind w:left="426" w:hanging="426"/>
      </w:pPr>
      <w:r>
        <w:t xml:space="preserve">As the exiting of the European Union (EU) by the UK is a national policy </w:t>
      </w:r>
      <w:r w:rsidR="00C36B9F">
        <w:t>which has now been executed, t</w:t>
      </w:r>
      <w:r>
        <w:t xml:space="preserve">here are </w:t>
      </w:r>
      <w:r w:rsidR="00C36B9F">
        <w:t>no</w:t>
      </w:r>
      <w:r>
        <w:t xml:space="preserve"> other options for the Council to consider other than preparing for the potential eventualities that exiting </w:t>
      </w:r>
      <w:r>
        <w:lastRenderedPageBreak/>
        <w:t xml:space="preserve">from the EU creates. Therefore this paper covers </w:t>
      </w:r>
      <w:r w:rsidR="00C36B9F">
        <w:t xml:space="preserve">only </w:t>
      </w:r>
      <w:r>
        <w:t>these eventualities and the Council’s preparation for them.</w:t>
      </w:r>
    </w:p>
    <w:p w:rsidR="002430D5" w:rsidRDefault="002430D5" w:rsidP="000C39B3">
      <w:pPr>
        <w:tabs>
          <w:tab w:val="left" w:pos="426"/>
        </w:tabs>
        <w:ind w:left="426" w:hanging="426"/>
      </w:pPr>
    </w:p>
    <w:p w:rsidR="00A81E19" w:rsidRPr="00284127" w:rsidRDefault="00A81E19" w:rsidP="000C39B3">
      <w:pPr>
        <w:pStyle w:val="Heading2"/>
        <w:tabs>
          <w:tab w:val="left" w:pos="426"/>
        </w:tabs>
      </w:pPr>
      <w:r>
        <w:t>Risk Management Implications</w:t>
      </w:r>
    </w:p>
    <w:p w:rsidR="00F42ECB" w:rsidRDefault="00F42ECB" w:rsidP="000C39B3">
      <w:pPr>
        <w:pStyle w:val="Heading1"/>
        <w:keepNext/>
        <w:tabs>
          <w:tab w:val="left" w:pos="426"/>
        </w:tabs>
        <w:ind w:left="426" w:hanging="426"/>
        <w:rPr>
          <w:rFonts w:ascii="Arial" w:hAnsi="Arial"/>
          <w:sz w:val="24"/>
          <w:szCs w:val="24"/>
        </w:rPr>
      </w:pPr>
    </w:p>
    <w:p w:rsidR="002430D5" w:rsidRDefault="00F41CA2" w:rsidP="000C39B3">
      <w:pPr>
        <w:pStyle w:val="Heading2"/>
        <w:numPr>
          <w:ilvl w:val="0"/>
          <w:numId w:val="27"/>
        </w:numPr>
        <w:tabs>
          <w:tab w:val="left" w:pos="426"/>
        </w:tabs>
        <w:ind w:left="426" w:hanging="426"/>
        <w:rPr>
          <w:rFonts w:cs="Times New Roman"/>
          <w:b w:val="0"/>
          <w:bCs w:val="0"/>
          <w:sz w:val="24"/>
          <w:szCs w:val="20"/>
        </w:rPr>
      </w:pPr>
      <w:r w:rsidRPr="00F41CA2">
        <w:rPr>
          <w:b w:val="0"/>
          <w:sz w:val="24"/>
        </w:rPr>
        <w:t>The Council reviews the risks of Brexit on a monthly basis through the cross-council Brexit Steering Group</w:t>
      </w:r>
      <w:r w:rsidR="00FA22DF">
        <w:rPr>
          <w:rFonts w:cs="Times New Roman"/>
          <w:b w:val="0"/>
          <w:bCs w:val="0"/>
          <w:sz w:val="24"/>
          <w:szCs w:val="20"/>
        </w:rPr>
        <w:t xml:space="preserve">. As </w:t>
      </w:r>
      <w:r w:rsidR="00C36B9F">
        <w:rPr>
          <w:rFonts w:cs="Times New Roman"/>
          <w:b w:val="0"/>
          <w:bCs w:val="0"/>
          <w:sz w:val="24"/>
          <w:szCs w:val="20"/>
        </w:rPr>
        <w:t>th</w:t>
      </w:r>
      <w:r w:rsidR="00FA22DF">
        <w:rPr>
          <w:rFonts w:cs="Times New Roman"/>
          <w:b w:val="0"/>
          <w:bCs w:val="0"/>
          <w:sz w:val="24"/>
          <w:szCs w:val="20"/>
        </w:rPr>
        <w:t>e</w:t>
      </w:r>
      <w:r w:rsidR="00C36B9F">
        <w:rPr>
          <w:rFonts w:cs="Times New Roman"/>
          <w:b w:val="0"/>
          <w:bCs w:val="0"/>
          <w:sz w:val="24"/>
          <w:szCs w:val="20"/>
        </w:rPr>
        <w:t xml:space="preserve"> UK has now left the European Union with a Deal, the risk of a ‘No Deal Brexit’ does not exist </w:t>
      </w:r>
      <w:r w:rsidR="002C7908">
        <w:rPr>
          <w:rFonts w:cs="Times New Roman"/>
          <w:b w:val="0"/>
          <w:bCs w:val="0"/>
          <w:sz w:val="24"/>
          <w:szCs w:val="20"/>
        </w:rPr>
        <w:t xml:space="preserve">in that form </w:t>
      </w:r>
      <w:r w:rsidR="00C36B9F">
        <w:rPr>
          <w:rFonts w:cs="Times New Roman"/>
          <w:b w:val="0"/>
          <w:bCs w:val="0"/>
          <w:sz w:val="24"/>
          <w:szCs w:val="20"/>
        </w:rPr>
        <w:t>anymore</w:t>
      </w:r>
      <w:r>
        <w:rPr>
          <w:rFonts w:cs="Times New Roman"/>
          <w:b w:val="0"/>
          <w:bCs w:val="0"/>
          <w:sz w:val="24"/>
          <w:szCs w:val="20"/>
        </w:rPr>
        <w:t>.</w:t>
      </w:r>
      <w:r w:rsidR="00C36B9F">
        <w:rPr>
          <w:rFonts w:cs="Times New Roman"/>
          <w:b w:val="0"/>
          <w:bCs w:val="0"/>
          <w:sz w:val="24"/>
          <w:szCs w:val="20"/>
        </w:rPr>
        <w:t xml:space="preserve"> However, there still remains a risk that at the end of the Transition Period in December 2020 the UK will not have all of the new arrangements in place covering its new relationship with European Union. The impact of what this might look like is currently unknown, so mitigations will have to be considered as more information is known throughout the year on this. </w:t>
      </w:r>
    </w:p>
    <w:p w:rsidR="00C36B9F" w:rsidRDefault="00C36B9F" w:rsidP="000C39B3">
      <w:pPr>
        <w:tabs>
          <w:tab w:val="left" w:pos="426"/>
        </w:tabs>
        <w:ind w:left="426" w:hanging="426"/>
      </w:pPr>
    </w:p>
    <w:p w:rsidR="00C36B9F" w:rsidRPr="00C36B9F" w:rsidRDefault="00C36B9F" w:rsidP="000C39B3">
      <w:pPr>
        <w:pStyle w:val="ListParagraph"/>
        <w:numPr>
          <w:ilvl w:val="0"/>
          <w:numId w:val="27"/>
        </w:numPr>
        <w:tabs>
          <w:tab w:val="left" w:pos="426"/>
        </w:tabs>
        <w:ind w:left="426" w:hanging="426"/>
      </w:pPr>
      <w:r>
        <w:t>The Council can however impact on the awareness of Settled Status within its communities so the mitigation being pursued is to avoid a large number of residents not applying for Settled Status who wish to remain in the UK, by the end date of June 202</w:t>
      </w:r>
      <w:r w:rsidR="002C7908">
        <w:t>1</w:t>
      </w:r>
      <w:r w:rsidR="00233B79">
        <w:t xml:space="preserve"> (for those people who have resided in the UK before December 2020).</w:t>
      </w:r>
    </w:p>
    <w:p w:rsidR="00F41CA2" w:rsidRPr="00F41CA2" w:rsidRDefault="00F41CA2" w:rsidP="000C39B3">
      <w:pPr>
        <w:tabs>
          <w:tab w:val="left" w:pos="426"/>
        </w:tabs>
        <w:ind w:left="426" w:hanging="426"/>
      </w:pPr>
    </w:p>
    <w:p w:rsidR="002A3FEF" w:rsidRDefault="002A3FEF" w:rsidP="000C39B3">
      <w:pPr>
        <w:pStyle w:val="Heading2"/>
        <w:tabs>
          <w:tab w:val="left" w:pos="426"/>
        </w:tabs>
      </w:pPr>
      <w:r>
        <w:t xml:space="preserve">Procurement Implications </w:t>
      </w:r>
    </w:p>
    <w:p w:rsidR="002A3FEF" w:rsidRPr="002A3FEF" w:rsidRDefault="002A3FEF" w:rsidP="000C39B3">
      <w:pPr>
        <w:tabs>
          <w:tab w:val="left" w:pos="426"/>
        </w:tabs>
        <w:ind w:left="426" w:hanging="426"/>
      </w:pPr>
    </w:p>
    <w:p w:rsidR="002A3FEF" w:rsidRDefault="00F41CA2" w:rsidP="000C39B3">
      <w:pPr>
        <w:pStyle w:val="Heading2"/>
        <w:numPr>
          <w:ilvl w:val="0"/>
          <w:numId w:val="27"/>
        </w:numPr>
        <w:tabs>
          <w:tab w:val="left" w:pos="426"/>
        </w:tabs>
        <w:ind w:left="426" w:hanging="426"/>
        <w:rPr>
          <w:b w:val="0"/>
          <w:sz w:val="24"/>
        </w:rPr>
      </w:pPr>
      <w:r>
        <w:rPr>
          <w:b w:val="0"/>
          <w:sz w:val="24"/>
        </w:rPr>
        <w:t xml:space="preserve">There are no direct procurement implications from Brexit, other than those outlined in the Supply Chain section above. </w:t>
      </w:r>
    </w:p>
    <w:p w:rsidR="002430D5" w:rsidRPr="002430D5" w:rsidRDefault="002430D5" w:rsidP="000C39B3">
      <w:pPr>
        <w:tabs>
          <w:tab w:val="left" w:pos="426"/>
        </w:tabs>
        <w:ind w:left="426" w:hanging="426"/>
      </w:pPr>
    </w:p>
    <w:p w:rsidR="00333FAA" w:rsidRDefault="00333FAA" w:rsidP="000C39B3">
      <w:pPr>
        <w:pStyle w:val="Heading2"/>
        <w:tabs>
          <w:tab w:val="left" w:pos="426"/>
        </w:tabs>
      </w:pPr>
      <w:r>
        <w:t>Legal Implications</w:t>
      </w:r>
    </w:p>
    <w:p w:rsidR="0054590F" w:rsidRDefault="0054590F" w:rsidP="000C39B3">
      <w:pPr>
        <w:pStyle w:val="Heading4"/>
        <w:keepNext w:val="0"/>
        <w:tabs>
          <w:tab w:val="left" w:pos="426"/>
        </w:tabs>
        <w:ind w:left="426" w:hanging="426"/>
        <w:rPr>
          <w:b w:val="0"/>
        </w:rPr>
      </w:pPr>
    </w:p>
    <w:p w:rsidR="0038335E" w:rsidRPr="000C39B3" w:rsidRDefault="00F41CA2" w:rsidP="000C39B3">
      <w:pPr>
        <w:pStyle w:val="ListParagraph"/>
        <w:numPr>
          <w:ilvl w:val="0"/>
          <w:numId w:val="27"/>
        </w:numPr>
        <w:tabs>
          <w:tab w:val="left" w:pos="426"/>
        </w:tabs>
        <w:ind w:left="426" w:hanging="426"/>
        <w:rPr>
          <w:rFonts w:cs="Arial"/>
        </w:rPr>
      </w:pPr>
      <w:r w:rsidRPr="000C39B3">
        <w:rPr>
          <w:rFonts w:cs="Arial"/>
        </w:rPr>
        <w:t>There are no direct legal implications which would affect only Harrow Council as opposed to Local Authorities i</w:t>
      </w:r>
      <w:r w:rsidR="00FA22DF" w:rsidRPr="000C39B3">
        <w:rPr>
          <w:rFonts w:cs="Arial"/>
        </w:rPr>
        <w:t>n general as a result of Brexit. T</w:t>
      </w:r>
      <w:r w:rsidRPr="000C39B3">
        <w:rPr>
          <w:rFonts w:cs="Arial"/>
        </w:rPr>
        <w:t xml:space="preserve">herefore the legal issues are being dealt with at </w:t>
      </w:r>
      <w:r w:rsidR="007B24A7" w:rsidRPr="000C39B3">
        <w:rPr>
          <w:rFonts w:cs="Arial"/>
        </w:rPr>
        <w:t xml:space="preserve">a </w:t>
      </w:r>
      <w:r w:rsidRPr="000C39B3">
        <w:rPr>
          <w:rFonts w:cs="Arial"/>
        </w:rPr>
        <w:t xml:space="preserve">regional and national level. </w:t>
      </w:r>
    </w:p>
    <w:p w:rsidR="0046128F" w:rsidRDefault="0046128F" w:rsidP="000C39B3">
      <w:pPr>
        <w:tabs>
          <w:tab w:val="left" w:pos="426"/>
        </w:tabs>
        <w:ind w:left="426" w:hanging="426"/>
        <w:rPr>
          <w:rFonts w:cs="Arial"/>
        </w:rPr>
      </w:pPr>
    </w:p>
    <w:p w:rsidR="00233B79" w:rsidRPr="000C39B3" w:rsidRDefault="00233B79" w:rsidP="000C39B3">
      <w:pPr>
        <w:pStyle w:val="ListParagraph"/>
        <w:numPr>
          <w:ilvl w:val="0"/>
          <w:numId w:val="27"/>
        </w:numPr>
        <w:tabs>
          <w:tab w:val="left" w:pos="426"/>
        </w:tabs>
        <w:ind w:left="426" w:hanging="426"/>
        <w:rPr>
          <w:rFonts w:cs="Arial"/>
        </w:rPr>
      </w:pPr>
      <w:r w:rsidRPr="000C39B3">
        <w:rPr>
          <w:rFonts w:cs="Arial"/>
        </w:rPr>
        <w:t>On 23</w:t>
      </w:r>
      <w:r w:rsidRPr="000C39B3">
        <w:rPr>
          <w:rFonts w:cs="Arial"/>
          <w:vertAlign w:val="superscript"/>
        </w:rPr>
        <w:t>rd</w:t>
      </w:r>
      <w:r w:rsidR="002C7908" w:rsidRPr="000C39B3">
        <w:rPr>
          <w:rFonts w:cs="Arial"/>
        </w:rPr>
        <w:t xml:space="preserve"> </w:t>
      </w:r>
      <w:r w:rsidRPr="000C39B3">
        <w:rPr>
          <w:rFonts w:cs="Arial"/>
        </w:rPr>
        <w:t>January 2020, the European Union (Withdrawal Agreement) Bill 2019-</w:t>
      </w:r>
      <w:r w:rsidR="0088024F" w:rsidRPr="000C39B3">
        <w:rPr>
          <w:rFonts w:cs="Arial"/>
        </w:rPr>
        <w:t xml:space="preserve">20 </w:t>
      </w:r>
      <w:r w:rsidR="0088024F" w:rsidRPr="000C39B3">
        <w:rPr>
          <w:rStyle w:val="Strong"/>
          <w:rFonts w:cs="Arial"/>
        </w:rPr>
        <w:t>received</w:t>
      </w:r>
      <w:r w:rsidRPr="000C39B3">
        <w:rPr>
          <w:rFonts w:cs="Arial"/>
        </w:rPr>
        <w:t xml:space="preserve"> Royal Assent to become the European Union (Withdrawal Agreement) Act 2020 (EUA). </w:t>
      </w:r>
    </w:p>
    <w:p w:rsidR="0046128F" w:rsidRDefault="0046128F" w:rsidP="000C39B3">
      <w:pPr>
        <w:tabs>
          <w:tab w:val="left" w:pos="426"/>
        </w:tabs>
        <w:ind w:left="426" w:hanging="426"/>
      </w:pPr>
    </w:p>
    <w:p w:rsidR="0046128F" w:rsidRDefault="0046128F" w:rsidP="000C39B3">
      <w:pPr>
        <w:pStyle w:val="ListParagraph"/>
        <w:numPr>
          <w:ilvl w:val="0"/>
          <w:numId w:val="27"/>
        </w:numPr>
        <w:tabs>
          <w:tab w:val="left" w:pos="426"/>
        </w:tabs>
        <w:ind w:left="426" w:hanging="426"/>
      </w:pPr>
      <w:r>
        <w:t xml:space="preserve">Many new Statutory Instruments </w:t>
      </w:r>
      <w:r w:rsidR="007B24A7">
        <w:t xml:space="preserve">were previously prepared for a ‘no deal’ scenario, </w:t>
      </w:r>
      <w:r w:rsidR="00B027EB">
        <w:t>generally providing for the continuation of existing EU rules but allowing f</w:t>
      </w:r>
      <w:r w:rsidR="007B24A7">
        <w:t xml:space="preserve">or enforcement </w:t>
      </w:r>
      <w:r w:rsidR="00B027EB">
        <w:t xml:space="preserve">and oversight </w:t>
      </w:r>
      <w:r w:rsidR="007B24A7">
        <w:t>by UK</w:t>
      </w:r>
      <w:r w:rsidR="00B027EB">
        <w:t xml:space="preserve"> rather than EU</w:t>
      </w:r>
      <w:r w:rsidR="007B24A7">
        <w:t xml:space="preserve"> </w:t>
      </w:r>
      <w:r w:rsidR="00B027EB">
        <w:t>institutions. T</w:t>
      </w:r>
      <w:r w:rsidR="007B24A7">
        <w:t xml:space="preserve">he EUA </w:t>
      </w:r>
      <w:r w:rsidR="00B027EB">
        <w:t xml:space="preserve">now </w:t>
      </w:r>
      <w:r w:rsidR="007B24A7">
        <w:t xml:space="preserve">envisages that these </w:t>
      </w:r>
      <w:r w:rsidR="00B027EB">
        <w:t xml:space="preserve">statutory instruments </w:t>
      </w:r>
      <w:r w:rsidR="007B24A7">
        <w:t>will be brought in</w:t>
      </w:r>
      <w:r w:rsidR="00B027EB">
        <w:t xml:space="preserve">to effect </w:t>
      </w:r>
      <w:r w:rsidR="007B24A7">
        <w:t>at the end of the Transition Period</w:t>
      </w:r>
      <w:r w:rsidR="00B027EB">
        <w:t xml:space="preserve"> unless the government brings forward replacement legislation in the meantime, to take effect from the start of 2021. </w:t>
      </w:r>
      <w:r>
        <w:t xml:space="preserve">. </w:t>
      </w:r>
    </w:p>
    <w:p w:rsidR="0046128F" w:rsidRPr="001C7E35" w:rsidRDefault="0046128F" w:rsidP="000C39B3">
      <w:pPr>
        <w:tabs>
          <w:tab w:val="left" w:pos="426"/>
        </w:tabs>
        <w:ind w:left="426" w:hanging="426"/>
      </w:pPr>
    </w:p>
    <w:p w:rsidR="007C3625" w:rsidRDefault="007C3625" w:rsidP="000C39B3">
      <w:pPr>
        <w:pStyle w:val="Heading2"/>
        <w:tabs>
          <w:tab w:val="left" w:pos="426"/>
        </w:tabs>
      </w:pPr>
      <w:r>
        <w:t>Financial Implications</w:t>
      </w:r>
    </w:p>
    <w:p w:rsidR="007C3625" w:rsidRDefault="007C3625" w:rsidP="000C39B3">
      <w:pPr>
        <w:tabs>
          <w:tab w:val="left" w:pos="426"/>
        </w:tabs>
        <w:ind w:left="426" w:hanging="426"/>
      </w:pPr>
    </w:p>
    <w:p w:rsidR="007C3625" w:rsidRPr="000C39B3" w:rsidRDefault="00FA22DF" w:rsidP="000C39B3">
      <w:pPr>
        <w:pStyle w:val="ListParagraph"/>
        <w:numPr>
          <w:ilvl w:val="0"/>
          <w:numId w:val="27"/>
        </w:numPr>
        <w:tabs>
          <w:tab w:val="left" w:pos="426"/>
        </w:tabs>
        <w:ind w:left="426" w:hanging="426"/>
        <w:rPr>
          <w:rFonts w:eastAsia="Calibri" w:cs="Arial"/>
          <w:szCs w:val="22"/>
        </w:rPr>
      </w:pPr>
      <w:r w:rsidRPr="000C39B3">
        <w:rPr>
          <w:rFonts w:eastAsia="Calibri" w:cs="Arial"/>
          <w:szCs w:val="22"/>
        </w:rPr>
        <w:t>In the latter part of 2018/19 a</w:t>
      </w:r>
      <w:r w:rsidR="007C3625" w:rsidRPr="000C39B3">
        <w:rPr>
          <w:rFonts w:eastAsia="Calibri" w:cs="Arial"/>
          <w:szCs w:val="22"/>
        </w:rPr>
        <w:t xml:space="preserve">dditional funding of £40m </w:t>
      </w:r>
      <w:r w:rsidRPr="000C39B3">
        <w:rPr>
          <w:rFonts w:eastAsia="Calibri" w:cs="Arial"/>
          <w:szCs w:val="22"/>
        </w:rPr>
        <w:t>was</w:t>
      </w:r>
      <w:r w:rsidR="007C3625" w:rsidRPr="000C39B3">
        <w:rPr>
          <w:rFonts w:eastAsia="Calibri" w:cs="Arial"/>
          <w:szCs w:val="22"/>
        </w:rPr>
        <w:t xml:space="preserve"> provided by the </w:t>
      </w:r>
      <w:r w:rsidRPr="000C39B3">
        <w:rPr>
          <w:rFonts w:eastAsia="Calibri" w:cs="Arial"/>
          <w:szCs w:val="22"/>
        </w:rPr>
        <w:t>G</w:t>
      </w:r>
      <w:r w:rsidR="007C3625" w:rsidRPr="000C39B3">
        <w:rPr>
          <w:rFonts w:eastAsia="Calibri" w:cs="Arial"/>
          <w:szCs w:val="22"/>
        </w:rPr>
        <w:t>overnment to local autho</w:t>
      </w:r>
      <w:r w:rsidRPr="000C39B3">
        <w:rPr>
          <w:rFonts w:eastAsia="Calibri" w:cs="Arial"/>
          <w:szCs w:val="22"/>
        </w:rPr>
        <w:t>rities to support Brexit work, and whilst much of this was</w:t>
      </w:r>
      <w:r w:rsidR="007C3625" w:rsidRPr="000C39B3">
        <w:rPr>
          <w:rFonts w:eastAsia="Calibri" w:cs="Arial"/>
          <w:szCs w:val="22"/>
        </w:rPr>
        <w:t xml:space="preserve"> focused on specific areas such as Kent </w:t>
      </w:r>
      <w:r w:rsidRPr="000C39B3">
        <w:rPr>
          <w:rFonts w:eastAsia="Calibri" w:cs="Arial"/>
          <w:szCs w:val="22"/>
        </w:rPr>
        <w:t xml:space="preserve">and other port authorities </w:t>
      </w:r>
      <w:r w:rsidR="007C3625" w:rsidRPr="000C39B3">
        <w:rPr>
          <w:rFonts w:eastAsia="Calibri" w:cs="Arial"/>
          <w:szCs w:val="22"/>
        </w:rPr>
        <w:t xml:space="preserve">where greatest impact is </w:t>
      </w:r>
      <w:r w:rsidRPr="000C39B3">
        <w:rPr>
          <w:rFonts w:eastAsia="Calibri" w:cs="Arial"/>
          <w:szCs w:val="22"/>
        </w:rPr>
        <w:t xml:space="preserve">expected </w:t>
      </w:r>
      <w:r w:rsidR="007C3625" w:rsidRPr="000C39B3">
        <w:rPr>
          <w:rFonts w:eastAsia="Calibri" w:cs="Arial"/>
          <w:szCs w:val="22"/>
        </w:rPr>
        <w:t xml:space="preserve">to be felt, money is also </w:t>
      </w:r>
      <w:r w:rsidR="007C3625" w:rsidRPr="000C39B3">
        <w:rPr>
          <w:rFonts w:eastAsia="Calibri" w:cs="Arial"/>
          <w:szCs w:val="22"/>
        </w:rPr>
        <w:lastRenderedPageBreak/>
        <w:t>provided to other cou</w:t>
      </w:r>
      <w:r w:rsidRPr="000C39B3">
        <w:rPr>
          <w:rFonts w:eastAsia="Calibri" w:cs="Arial"/>
          <w:szCs w:val="22"/>
        </w:rPr>
        <w:t xml:space="preserve">ncils to support their planning (which for Harrow came in two tranches of £105k, one in 2018/19 and one in 2019/20). </w:t>
      </w:r>
      <w:r w:rsidR="00233B79" w:rsidRPr="000C39B3">
        <w:rPr>
          <w:rFonts w:eastAsia="Calibri" w:cs="Arial"/>
          <w:szCs w:val="22"/>
        </w:rPr>
        <w:t>A further £20m was all</w:t>
      </w:r>
      <w:r w:rsidRPr="000C39B3">
        <w:rPr>
          <w:rFonts w:eastAsia="Calibri" w:cs="Arial"/>
          <w:szCs w:val="22"/>
        </w:rPr>
        <w:t>ocated in July 2019 to Councils,</w:t>
      </w:r>
      <w:r w:rsidR="00233B79" w:rsidRPr="000C39B3">
        <w:rPr>
          <w:rFonts w:eastAsia="Calibri" w:cs="Arial"/>
          <w:szCs w:val="22"/>
        </w:rPr>
        <w:t xml:space="preserve"> so in effect</w:t>
      </w:r>
      <w:r w:rsidRPr="000C39B3">
        <w:rPr>
          <w:rFonts w:eastAsia="Calibri" w:cs="Arial"/>
          <w:szCs w:val="22"/>
        </w:rPr>
        <w:t xml:space="preserve"> Harrow </w:t>
      </w:r>
      <w:r w:rsidR="00233B79" w:rsidRPr="000C39B3">
        <w:rPr>
          <w:rFonts w:eastAsia="Calibri" w:cs="Arial"/>
          <w:szCs w:val="22"/>
        </w:rPr>
        <w:t xml:space="preserve">has received £315k in total. </w:t>
      </w:r>
    </w:p>
    <w:p w:rsidR="007C3625" w:rsidRPr="00E5532F" w:rsidRDefault="007C3625" w:rsidP="000C39B3">
      <w:pPr>
        <w:tabs>
          <w:tab w:val="left" w:pos="426"/>
        </w:tabs>
        <w:ind w:left="426" w:hanging="426"/>
        <w:rPr>
          <w:rFonts w:eastAsia="Calibri" w:cs="Arial"/>
          <w:szCs w:val="22"/>
        </w:rPr>
      </w:pPr>
    </w:p>
    <w:p w:rsidR="007C3625" w:rsidRPr="000C39B3" w:rsidRDefault="007C3625" w:rsidP="000C39B3">
      <w:pPr>
        <w:pStyle w:val="ListParagraph"/>
        <w:numPr>
          <w:ilvl w:val="0"/>
          <w:numId w:val="27"/>
        </w:numPr>
        <w:tabs>
          <w:tab w:val="left" w:pos="426"/>
        </w:tabs>
        <w:ind w:left="426" w:hanging="426"/>
        <w:rPr>
          <w:rFonts w:eastAsia="Calibri" w:cs="Arial"/>
          <w:szCs w:val="22"/>
        </w:rPr>
      </w:pPr>
      <w:r w:rsidRPr="000C39B3">
        <w:rPr>
          <w:rFonts w:eastAsia="Calibri" w:cs="Arial"/>
          <w:szCs w:val="22"/>
        </w:rPr>
        <w:t xml:space="preserve">Consideration has been given to how the money provided to Harrow </w:t>
      </w:r>
      <w:r w:rsidR="00FA22DF" w:rsidRPr="000C39B3">
        <w:rPr>
          <w:rFonts w:eastAsia="Calibri" w:cs="Arial"/>
          <w:szCs w:val="22"/>
        </w:rPr>
        <w:t>can</w:t>
      </w:r>
      <w:r w:rsidRPr="000C39B3">
        <w:rPr>
          <w:rFonts w:eastAsia="Calibri" w:cs="Arial"/>
          <w:szCs w:val="22"/>
        </w:rPr>
        <w:t xml:space="preserve"> be best utilised and the following are the initial </w:t>
      </w:r>
      <w:r w:rsidR="00FA22DF" w:rsidRPr="000C39B3">
        <w:rPr>
          <w:rFonts w:eastAsia="Calibri" w:cs="Arial"/>
          <w:szCs w:val="22"/>
        </w:rPr>
        <w:t>spend areas which were reported to Cabinet in October</w:t>
      </w:r>
      <w:r w:rsidRPr="000C39B3">
        <w:rPr>
          <w:rFonts w:eastAsia="Calibri" w:cs="Arial"/>
          <w:szCs w:val="22"/>
        </w:rPr>
        <w:t>.  Further funding requirements can be built into future proposals on the basis that there are ring fenced funds available as set out above.</w:t>
      </w:r>
      <w:r w:rsidR="00D15639" w:rsidRPr="000C39B3">
        <w:rPr>
          <w:rFonts w:eastAsia="Calibri" w:cs="Arial"/>
          <w:szCs w:val="22"/>
        </w:rPr>
        <w:t xml:space="preserve"> Given the Council’s current financial challenges, the following spend has only used one of the tranc</w:t>
      </w:r>
      <w:r w:rsidR="00FA22DF" w:rsidRPr="000C39B3">
        <w:rPr>
          <w:rFonts w:eastAsia="Calibri" w:cs="Arial"/>
          <w:szCs w:val="22"/>
        </w:rPr>
        <w:t>h</w:t>
      </w:r>
      <w:r w:rsidR="00D15639" w:rsidRPr="000C39B3">
        <w:rPr>
          <w:rFonts w:eastAsia="Calibri" w:cs="Arial"/>
          <w:szCs w:val="22"/>
        </w:rPr>
        <w:t xml:space="preserve">es of funding received. This will still enable the Council to be supporting activity into the Summer of 2020. If there is a need to spend additional monies this will then be drawn down </w:t>
      </w:r>
      <w:r w:rsidR="00FA22DF" w:rsidRPr="000C39B3">
        <w:rPr>
          <w:rFonts w:eastAsia="Calibri" w:cs="Arial"/>
          <w:szCs w:val="22"/>
        </w:rPr>
        <w:t>from</w:t>
      </w:r>
      <w:r w:rsidR="00D15639" w:rsidRPr="000C39B3">
        <w:rPr>
          <w:rFonts w:eastAsia="Calibri" w:cs="Arial"/>
          <w:szCs w:val="22"/>
        </w:rPr>
        <w:t xml:space="preserve"> the additional monies received in July 2019.</w:t>
      </w:r>
    </w:p>
    <w:p w:rsidR="007C3625" w:rsidRPr="00E5532F" w:rsidRDefault="007C3625" w:rsidP="000C39B3">
      <w:pPr>
        <w:tabs>
          <w:tab w:val="left" w:pos="426"/>
        </w:tabs>
        <w:spacing w:after="200" w:line="276" w:lineRule="auto"/>
        <w:ind w:left="426" w:hanging="426"/>
        <w:jc w:val="both"/>
        <w:rPr>
          <w:rFonts w:eastAsia="Calibri" w:cs="Arial"/>
          <w:szCs w:val="22"/>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9"/>
        <w:gridCol w:w="4665"/>
        <w:gridCol w:w="1041"/>
      </w:tblGrid>
      <w:tr w:rsidR="007C3625" w:rsidRPr="00E5532F" w:rsidTr="000417C3">
        <w:tc>
          <w:tcPr>
            <w:tcW w:w="3080" w:type="dxa"/>
          </w:tcPr>
          <w:p w:rsidR="007C3625" w:rsidRPr="00E5532F" w:rsidRDefault="007C3625" w:rsidP="000C39B3">
            <w:pPr>
              <w:tabs>
                <w:tab w:val="left" w:pos="426"/>
              </w:tabs>
              <w:spacing w:after="200" w:line="276" w:lineRule="auto"/>
              <w:ind w:left="426" w:hanging="426"/>
              <w:rPr>
                <w:rFonts w:cs="Arial"/>
                <w:b/>
                <w:szCs w:val="22"/>
              </w:rPr>
            </w:pPr>
            <w:r w:rsidRPr="00E5532F">
              <w:rPr>
                <w:rFonts w:cs="Arial"/>
                <w:b/>
                <w:szCs w:val="22"/>
              </w:rPr>
              <w:t>Requirement</w:t>
            </w:r>
          </w:p>
        </w:tc>
        <w:tc>
          <w:tcPr>
            <w:tcW w:w="5533" w:type="dxa"/>
          </w:tcPr>
          <w:p w:rsidR="007C3625" w:rsidRPr="00E5532F" w:rsidRDefault="007C3625" w:rsidP="000C39B3">
            <w:pPr>
              <w:tabs>
                <w:tab w:val="left" w:pos="426"/>
              </w:tabs>
              <w:spacing w:after="200" w:line="276" w:lineRule="auto"/>
              <w:ind w:left="426" w:hanging="426"/>
              <w:rPr>
                <w:rFonts w:cs="Arial"/>
                <w:b/>
                <w:szCs w:val="22"/>
              </w:rPr>
            </w:pPr>
            <w:r w:rsidRPr="00E5532F">
              <w:rPr>
                <w:rFonts w:cs="Arial"/>
                <w:b/>
                <w:szCs w:val="22"/>
              </w:rPr>
              <w:t>Purpose</w:t>
            </w:r>
          </w:p>
        </w:tc>
        <w:tc>
          <w:tcPr>
            <w:tcW w:w="1134" w:type="dxa"/>
          </w:tcPr>
          <w:p w:rsidR="007C3625" w:rsidRPr="00E5532F" w:rsidRDefault="007C3625" w:rsidP="000C39B3">
            <w:pPr>
              <w:tabs>
                <w:tab w:val="left" w:pos="426"/>
              </w:tabs>
              <w:spacing w:after="200" w:line="276" w:lineRule="auto"/>
              <w:ind w:left="426" w:hanging="426"/>
              <w:rPr>
                <w:rFonts w:cs="Arial"/>
                <w:b/>
                <w:szCs w:val="22"/>
              </w:rPr>
            </w:pPr>
            <w:r w:rsidRPr="00E5532F">
              <w:rPr>
                <w:rFonts w:cs="Arial"/>
                <w:b/>
                <w:szCs w:val="22"/>
              </w:rPr>
              <w:t>Cost</w:t>
            </w:r>
          </w:p>
        </w:tc>
      </w:tr>
      <w:tr w:rsidR="007C3625" w:rsidRPr="00E5532F" w:rsidTr="000417C3">
        <w:tc>
          <w:tcPr>
            <w:tcW w:w="3080" w:type="dxa"/>
          </w:tcPr>
          <w:p w:rsidR="007C3625" w:rsidRPr="00E5532F" w:rsidRDefault="007C3625" w:rsidP="00C577EF">
            <w:pPr>
              <w:tabs>
                <w:tab w:val="left" w:pos="0"/>
              </w:tabs>
              <w:spacing w:after="200" w:line="276" w:lineRule="auto"/>
              <w:rPr>
                <w:rFonts w:cs="Arial"/>
                <w:szCs w:val="22"/>
              </w:rPr>
            </w:pPr>
            <w:r w:rsidRPr="00E5532F">
              <w:rPr>
                <w:rFonts w:cs="Arial"/>
                <w:szCs w:val="22"/>
              </w:rPr>
              <w:t>Additional Policy Officer support (</w:t>
            </w:r>
            <w:r w:rsidR="00233B79">
              <w:rPr>
                <w:rFonts w:cs="Arial"/>
                <w:szCs w:val="22"/>
              </w:rPr>
              <w:t>9</w:t>
            </w:r>
            <w:r w:rsidRPr="00E5532F">
              <w:rPr>
                <w:rFonts w:cs="Arial"/>
                <w:szCs w:val="22"/>
              </w:rPr>
              <w:t xml:space="preserve"> month role)</w:t>
            </w:r>
          </w:p>
        </w:tc>
        <w:tc>
          <w:tcPr>
            <w:tcW w:w="5533" w:type="dxa"/>
          </w:tcPr>
          <w:p w:rsidR="007C3625" w:rsidRPr="00E5532F" w:rsidRDefault="007C3625" w:rsidP="000C39B3">
            <w:pPr>
              <w:tabs>
                <w:tab w:val="left" w:pos="426"/>
              </w:tabs>
              <w:spacing w:after="200" w:line="276" w:lineRule="auto"/>
              <w:ind w:left="426" w:hanging="426"/>
              <w:jc w:val="both"/>
              <w:rPr>
                <w:rFonts w:cs="Arial"/>
                <w:szCs w:val="22"/>
              </w:rPr>
            </w:pPr>
            <w:r w:rsidRPr="00E5532F">
              <w:rPr>
                <w:rFonts w:cs="Arial"/>
                <w:szCs w:val="22"/>
              </w:rPr>
              <w:t>Support across the settled s</w:t>
            </w:r>
            <w:r w:rsidR="00233B79">
              <w:rPr>
                <w:rFonts w:cs="Arial"/>
                <w:szCs w:val="22"/>
              </w:rPr>
              <w:t>tatus community engagement work</w:t>
            </w:r>
            <w:r w:rsidRPr="00E5532F">
              <w:rPr>
                <w:rFonts w:cs="Arial"/>
                <w:szCs w:val="22"/>
              </w:rPr>
              <w:t>.</w:t>
            </w:r>
          </w:p>
        </w:tc>
        <w:tc>
          <w:tcPr>
            <w:tcW w:w="1134" w:type="dxa"/>
          </w:tcPr>
          <w:p w:rsidR="007C3625" w:rsidRPr="00E5532F" w:rsidRDefault="007C3625" w:rsidP="000C39B3">
            <w:pPr>
              <w:tabs>
                <w:tab w:val="left" w:pos="426"/>
              </w:tabs>
              <w:spacing w:after="200" w:line="276" w:lineRule="auto"/>
              <w:ind w:left="426" w:hanging="426"/>
              <w:rPr>
                <w:rFonts w:cs="Arial"/>
                <w:szCs w:val="22"/>
              </w:rPr>
            </w:pPr>
            <w:r w:rsidRPr="00E5532F">
              <w:rPr>
                <w:rFonts w:cs="Arial"/>
                <w:szCs w:val="22"/>
              </w:rPr>
              <w:t>£</w:t>
            </w:r>
            <w:r w:rsidR="00D15639">
              <w:rPr>
                <w:rFonts w:cs="Arial"/>
                <w:szCs w:val="22"/>
              </w:rPr>
              <w:t>39</w:t>
            </w:r>
            <w:r w:rsidRPr="00E5532F">
              <w:rPr>
                <w:rFonts w:cs="Arial"/>
                <w:szCs w:val="22"/>
              </w:rPr>
              <w:t>k</w:t>
            </w:r>
          </w:p>
        </w:tc>
      </w:tr>
      <w:tr w:rsidR="007C3625" w:rsidRPr="00E5532F" w:rsidTr="000417C3">
        <w:tc>
          <w:tcPr>
            <w:tcW w:w="3080" w:type="dxa"/>
          </w:tcPr>
          <w:p w:rsidR="007C3625" w:rsidRPr="00E5532F" w:rsidRDefault="007C3625" w:rsidP="00C577EF">
            <w:pPr>
              <w:tabs>
                <w:tab w:val="left" w:pos="0"/>
              </w:tabs>
              <w:spacing w:after="200" w:line="276" w:lineRule="auto"/>
              <w:rPr>
                <w:rFonts w:cs="Arial"/>
                <w:szCs w:val="22"/>
              </w:rPr>
            </w:pPr>
            <w:proofErr w:type="spellStart"/>
            <w:r w:rsidRPr="00E5532F">
              <w:rPr>
                <w:rFonts w:cs="Arial"/>
                <w:szCs w:val="22"/>
              </w:rPr>
              <w:t>Civica</w:t>
            </w:r>
            <w:proofErr w:type="spellEnd"/>
            <w:r w:rsidRPr="00E5532F">
              <w:rPr>
                <w:rFonts w:cs="Arial"/>
                <w:szCs w:val="22"/>
              </w:rPr>
              <w:t xml:space="preserve"> admin resource         (circa 1 month)</w:t>
            </w:r>
          </w:p>
        </w:tc>
        <w:tc>
          <w:tcPr>
            <w:tcW w:w="5533" w:type="dxa"/>
          </w:tcPr>
          <w:p w:rsidR="007C3625" w:rsidRPr="00E5532F" w:rsidRDefault="007C3625" w:rsidP="000C39B3">
            <w:pPr>
              <w:tabs>
                <w:tab w:val="left" w:pos="426"/>
              </w:tabs>
              <w:spacing w:after="200" w:line="276" w:lineRule="auto"/>
              <w:ind w:left="426" w:hanging="426"/>
              <w:jc w:val="both"/>
              <w:rPr>
                <w:rFonts w:cs="Arial"/>
                <w:szCs w:val="22"/>
              </w:rPr>
            </w:pPr>
            <w:r w:rsidRPr="00E5532F">
              <w:rPr>
                <w:rFonts w:cs="Arial"/>
                <w:szCs w:val="22"/>
              </w:rPr>
              <w:t>To ensure we know the nationality of all our staff and how many are EU or EEA citizens.</w:t>
            </w:r>
          </w:p>
        </w:tc>
        <w:tc>
          <w:tcPr>
            <w:tcW w:w="1134" w:type="dxa"/>
          </w:tcPr>
          <w:p w:rsidR="007C3625" w:rsidRPr="00E5532F" w:rsidRDefault="007C3625" w:rsidP="000C39B3">
            <w:pPr>
              <w:tabs>
                <w:tab w:val="left" w:pos="426"/>
              </w:tabs>
              <w:spacing w:after="200" w:line="276" w:lineRule="auto"/>
              <w:ind w:left="426" w:hanging="426"/>
              <w:rPr>
                <w:rFonts w:cs="Arial"/>
                <w:szCs w:val="22"/>
              </w:rPr>
            </w:pPr>
            <w:r w:rsidRPr="00E5532F">
              <w:rPr>
                <w:rFonts w:cs="Arial"/>
                <w:szCs w:val="22"/>
              </w:rPr>
              <w:t>£5k</w:t>
            </w:r>
          </w:p>
        </w:tc>
      </w:tr>
      <w:tr w:rsidR="007C3625" w:rsidRPr="00E5532F" w:rsidTr="000417C3">
        <w:tc>
          <w:tcPr>
            <w:tcW w:w="3080" w:type="dxa"/>
          </w:tcPr>
          <w:p w:rsidR="007C3625" w:rsidRPr="00E5532F" w:rsidRDefault="007C3625" w:rsidP="00C577EF">
            <w:pPr>
              <w:tabs>
                <w:tab w:val="left" w:pos="0"/>
              </w:tabs>
              <w:spacing w:after="200" w:line="276" w:lineRule="auto"/>
              <w:rPr>
                <w:rFonts w:cs="Arial"/>
                <w:szCs w:val="22"/>
              </w:rPr>
            </w:pPr>
            <w:r w:rsidRPr="00E5532F">
              <w:rPr>
                <w:rFonts w:cs="Arial"/>
                <w:szCs w:val="22"/>
              </w:rPr>
              <w:t>Funding enhancements for CAB and Law Centre</w:t>
            </w:r>
          </w:p>
        </w:tc>
        <w:tc>
          <w:tcPr>
            <w:tcW w:w="5533" w:type="dxa"/>
          </w:tcPr>
          <w:p w:rsidR="007C3625" w:rsidRPr="00E5532F" w:rsidRDefault="007C3625" w:rsidP="000C39B3">
            <w:pPr>
              <w:tabs>
                <w:tab w:val="left" w:pos="426"/>
              </w:tabs>
              <w:spacing w:after="200" w:line="276" w:lineRule="auto"/>
              <w:ind w:left="426" w:hanging="426"/>
              <w:jc w:val="both"/>
              <w:rPr>
                <w:rFonts w:cs="Arial"/>
                <w:szCs w:val="22"/>
              </w:rPr>
            </w:pPr>
            <w:r w:rsidRPr="00E5532F">
              <w:rPr>
                <w:rFonts w:cs="Arial"/>
                <w:szCs w:val="22"/>
              </w:rPr>
              <w:t>Support on settled status, community engagement and communications (including more Law Centre engagement sessions with greater support in the promoting these) as well as creating additional capacity.</w:t>
            </w:r>
          </w:p>
        </w:tc>
        <w:tc>
          <w:tcPr>
            <w:tcW w:w="1134" w:type="dxa"/>
          </w:tcPr>
          <w:p w:rsidR="007C3625" w:rsidRPr="00E5532F" w:rsidRDefault="007C3625" w:rsidP="000C39B3">
            <w:pPr>
              <w:tabs>
                <w:tab w:val="left" w:pos="426"/>
              </w:tabs>
              <w:spacing w:after="200" w:line="276" w:lineRule="auto"/>
              <w:ind w:left="426" w:hanging="426"/>
              <w:rPr>
                <w:rFonts w:cs="Arial"/>
                <w:szCs w:val="22"/>
              </w:rPr>
            </w:pPr>
            <w:r w:rsidRPr="00E5532F">
              <w:rPr>
                <w:rFonts w:cs="Arial"/>
                <w:szCs w:val="22"/>
              </w:rPr>
              <w:t>£</w:t>
            </w:r>
            <w:r>
              <w:rPr>
                <w:rFonts w:cs="Arial"/>
                <w:szCs w:val="22"/>
              </w:rPr>
              <w:t>51</w:t>
            </w:r>
            <w:r w:rsidRPr="00E5532F">
              <w:rPr>
                <w:rFonts w:cs="Arial"/>
                <w:szCs w:val="22"/>
              </w:rPr>
              <w:t>k</w:t>
            </w:r>
          </w:p>
        </w:tc>
      </w:tr>
      <w:tr w:rsidR="007C3625" w:rsidRPr="00E5532F" w:rsidTr="000417C3">
        <w:tc>
          <w:tcPr>
            <w:tcW w:w="3080" w:type="dxa"/>
          </w:tcPr>
          <w:p w:rsidR="007C3625" w:rsidRPr="00E5532F" w:rsidRDefault="007C3625" w:rsidP="00C577EF">
            <w:pPr>
              <w:tabs>
                <w:tab w:val="left" w:pos="0"/>
              </w:tabs>
              <w:spacing w:after="200" w:line="276" w:lineRule="auto"/>
              <w:rPr>
                <w:rFonts w:cs="Arial"/>
                <w:szCs w:val="22"/>
              </w:rPr>
            </w:pPr>
            <w:r w:rsidRPr="00E5532F">
              <w:rPr>
                <w:rFonts w:cs="Arial"/>
                <w:szCs w:val="22"/>
              </w:rPr>
              <w:t>Communications</w:t>
            </w:r>
          </w:p>
          <w:p w:rsidR="007C3625" w:rsidRPr="00E5532F" w:rsidRDefault="007C3625" w:rsidP="00C577EF">
            <w:pPr>
              <w:tabs>
                <w:tab w:val="left" w:pos="0"/>
              </w:tabs>
              <w:spacing w:after="200" w:line="276" w:lineRule="auto"/>
              <w:rPr>
                <w:rFonts w:cs="Arial"/>
                <w:szCs w:val="22"/>
              </w:rPr>
            </w:pPr>
          </w:p>
        </w:tc>
        <w:tc>
          <w:tcPr>
            <w:tcW w:w="5533" w:type="dxa"/>
          </w:tcPr>
          <w:p w:rsidR="007C3625" w:rsidRPr="00E5532F" w:rsidRDefault="007C3625" w:rsidP="000C39B3">
            <w:pPr>
              <w:tabs>
                <w:tab w:val="left" w:pos="426"/>
              </w:tabs>
              <w:spacing w:after="200" w:line="276" w:lineRule="auto"/>
              <w:ind w:left="426" w:hanging="426"/>
              <w:jc w:val="both"/>
              <w:rPr>
                <w:rFonts w:cs="Arial"/>
                <w:szCs w:val="22"/>
              </w:rPr>
            </w:pPr>
            <w:r w:rsidRPr="00E5532F">
              <w:rPr>
                <w:rFonts w:cs="Arial"/>
                <w:szCs w:val="22"/>
              </w:rPr>
              <w:t>Enhanced communications (internal and external) to ensure a clear message and support people in understanding what Brexit means for them / what they need to do.</w:t>
            </w:r>
          </w:p>
        </w:tc>
        <w:tc>
          <w:tcPr>
            <w:tcW w:w="1134" w:type="dxa"/>
          </w:tcPr>
          <w:p w:rsidR="007C3625" w:rsidRPr="00E5532F" w:rsidRDefault="007C3625" w:rsidP="000C39B3">
            <w:pPr>
              <w:tabs>
                <w:tab w:val="left" w:pos="426"/>
              </w:tabs>
              <w:spacing w:after="200" w:line="276" w:lineRule="auto"/>
              <w:ind w:left="426" w:hanging="426"/>
              <w:rPr>
                <w:rFonts w:cs="Arial"/>
                <w:szCs w:val="22"/>
              </w:rPr>
            </w:pPr>
            <w:r w:rsidRPr="00E5532F">
              <w:rPr>
                <w:rFonts w:cs="Arial"/>
                <w:szCs w:val="22"/>
              </w:rPr>
              <w:t>£</w:t>
            </w:r>
            <w:r w:rsidR="00D15639">
              <w:rPr>
                <w:rFonts w:cs="Arial"/>
                <w:szCs w:val="22"/>
              </w:rPr>
              <w:t>10</w:t>
            </w:r>
            <w:r w:rsidRPr="00E5532F">
              <w:rPr>
                <w:rFonts w:cs="Arial"/>
                <w:szCs w:val="22"/>
              </w:rPr>
              <w:t>k</w:t>
            </w:r>
          </w:p>
        </w:tc>
      </w:tr>
    </w:tbl>
    <w:p w:rsidR="007C3625" w:rsidRPr="002430D5" w:rsidRDefault="007C3625" w:rsidP="000C39B3">
      <w:pPr>
        <w:tabs>
          <w:tab w:val="left" w:pos="426"/>
        </w:tabs>
        <w:ind w:left="426" w:hanging="426"/>
      </w:pPr>
    </w:p>
    <w:p w:rsidR="007C3625" w:rsidRPr="00303FD6" w:rsidRDefault="007C3625" w:rsidP="000C39B3">
      <w:pPr>
        <w:pStyle w:val="Heading2"/>
        <w:keepNext/>
        <w:tabs>
          <w:tab w:val="left" w:pos="426"/>
        </w:tabs>
        <w:ind w:left="426" w:hanging="426"/>
        <w:rPr>
          <w:color w:val="FF0000"/>
        </w:rPr>
      </w:pPr>
      <w:r w:rsidRPr="004A2543">
        <w:t>Equalities implications</w:t>
      </w:r>
      <w:r>
        <w:t xml:space="preserve"> </w:t>
      </w:r>
      <w:r w:rsidRPr="00333FAA">
        <w:t>/</w:t>
      </w:r>
      <w:r>
        <w:t xml:space="preserve"> </w:t>
      </w:r>
      <w:r w:rsidRPr="00333FAA">
        <w:t>Public Sector Equality Duty</w:t>
      </w:r>
    </w:p>
    <w:p w:rsidR="007C3625" w:rsidRDefault="007C3625" w:rsidP="000C39B3">
      <w:pPr>
        <w:tabs>
          <w:tab w:val="left" w:pos="426"/>
        </w:tabs>
        <w:ind w:left="426" w:hanging="426"/>
      </w:pPr>
    </w:p>
    <w:p w:rsidR="007C3625" w:rsidRDefault="007C3625" w:rsidP="000C39B3">
      <w:pPr>
        <w:pStyle w:val="ListParagraph"/>
        <w:numPr>
          <w:ilvl w:val="0"/>
          <w:numId w:val="27"/>
        </w:numPr>
        <w:tabs>
          <w:tab w:val="left" w:pos="426"/>
        </w:tabs>
        <w:ind w:left="426" w:hanging="426"/>
      </w:pPr>
      <w:r>
        <w:t>An EQIA has not been carried out at a local level.</w:t>
      </w:r>
    </w:p>
    <w:p w:rsidR="007C3625" w:rsidRDefault="007C3625" w:rsidP="000C39B3">
      <w:pPr>
        <w:tabs>
          <w:tab w:val="left" w:pos="426"/>
        </w:tabs>
        <w:ind w:left="426" w:hanging="426"/>
      </w:pPr>
    </w:p>
    <w:p w:rsidR="007C3625" w:rsidRPr="000C39B3" w:rsidRDefault="007C3625" w:rsidP="000C39B3">
      <w:pPr>
        <w:tabs>
          <w:tab w:val="left" w:pos="426"/>
        </w:tabs>
        <w:ind w:left="426" w:hanging="426"/>
        <w:rPr>
          <w:b/>
          <w:sz w:val="28"/>
          <w:szCs w:val="28"/>
        </w:rPr>
      </w:pPr>
      <w:r w:rsidRPr="000C39B3">
        <w:rPr>
          <w:b/>
          <w:sz w:val="28"/>
          <w:szCs w:val="28"/>
        </w:rPr>
        <w:t>Council Priorities</w:t>
      </w:r>
    </w:p>
    <w:p w:rsidR="007C3625" w:rsidRDefault="007C3625" w:rsidP="000C39B3">
      <w:pPr>
        <w:tabs>
          <w:tab w:val="left" w:pos="426"/>
        </w:tabs>
        <w:ind w:left="426" w:hanging="426"/>
      </w:pPr>
    </w:p>
    <w:p w:rsidR="007C3625" w:rsidRPr="000C39B3" w:rsidRDefault="000C39B3" w:rsidP="000C39B3">
      <w:pPr>
        <w:pStyle w:val="ListParagraph"/>
        <w:numPr>
          <w:ilvl w:val="0"/>
          <w:numId w:val="27"/>
        </w:numPr>
        <w:tabs>
          <w:tab w:val="left" w:pos="426"/>
        </w:tabs>
        <w:autoSpaceDE w:val="0"/>
        <w:autoSpaceDN w:val="0"/>
        <w:ind w:left="426" w:hanging="426"/>
        <w:contextualSpacing/>
      </w:pPr>
      <w:r w:rsidRPr="000C39B3">
        <w:t>The Council agreed a new set of Corporate Priorities on 27</w:t>
      </w:r>
      <w:r w:rsidRPr="000C39B3">
        <w:rPr>
          <w:vertAlign w:val="superscript"/>
        </w:rPr>
        <w:t>th</w:t>
      </w:r>
      <w:r w:rsidRPr="000C39B3">
        <w:t xml:space="preserve"> February 2020. </w:t>
      </w:r>
      <w:r w:rsidR="007C3625" w:rsidRPr="000C39B3">
        <w:t xml:space="preserve">Principally, this report most supports </w:t>
      </w:r>
      <w:r w:rsidRPr="000C39B3">
        <w:t xml:space="preserve">the overarching ambition to Tackle Inequality and Disadvantage and the priority to Celebrate our Communities and Cohesion, </w:t>
      </w:r>
      <w:r w:rsidR="007C3625" w:rsidRPr="000C39B3">
        <w:rPr>
          <w:bCs/>
        </w:rPr>
        <w:t>because of the targeted work on S</w:t>
      </w:r>
      <w:r w:rsidR="00D15639" w:rsidRPr="000C39B3">
        <w:rPr>
          <w:bCs/>
        </w:rPr>
        <w:t xml:space="preserve">ettled </w:t>
      </w:r>
      <w:r w:rsidR="00D15639" w:rsidRPr="000C39B3">
        <w:rPr>
          <w:bCs/>
        </w:rPr>
        <w:lastRenderedPageBreak/>
        <w:t xml:space="preserve">Status which is seen as </w:t>
      </w:r>
      <w:r w:rsidR="007C3625" w:rsidRPr="000C39B3">
        <w:rPr>
          <w:bCs/>
        </w:rPr>
        <w:t>th</w:t>
      </w:r>
      <w:r w:rsidR="00D15639" w:rsidRPr="000C39B3">
        <w:rPr>
          <w:bCs/>
        </w:rPr>
        <w:t>e</w:t>
      </w:r>
      <w:r w:rsidR="007C3625" w:rsidRPr="000C39B3">
        <w:rPr>
          <w:bCs/>
        </w:rPr>
        <w:t xml:space="preserve"> primary risk for the Borough following the UK</w:t>
      </w:r>
      <w:r w:rsidRPr="000C39B3">
        <w:rPr>
          <w:bCs/>
        </w:rPr>
        <w:t>’s</w:t>
      </w:r>
      <w:r w:rsidR="007C3625" w:rsidRPr="000C39B3">
        <w:rPr>
          <w:bCs/>
        </w:rPr>
        <w:t xml:space="preserve"> </w:t>
      </w:r>
      <w:r w:rsidRPr="000C39B3">
        <w:rPr>
          <w:bCs/>
        </w:rPr>
        <w:t xml:space="preserve">departure from </w:t>
      </w:r>
      <w:r w:rsidR="007C3625" w:rsidRPr="000C39B3">
        <w:rPr>
          <w:bCs/>
        </w:rPr>
        <w:t>the European Union.</w:t>
      </w:r>
    </w:p>
    <w:p w:rsidR="007C3625" w:rsidRPr="00FA22DF" w:rsidRDefault="007C3625" w:rsidP="007C3625">
      <w:pPr>
        <w:rPr>
          <w:rFonts w:cs="Arial"/>
          <w:i/>
          <w:szCs w:val="24"/>
          <w:lang w:val="en-US"/>
        </w:rPr>
      </w:pPr>
    </w:p>
    <w:p w:rsidR="007C3625" w:rsidRDefault="007C3625" w:rsidP="007C3625">
      <w:pPr>
        <w:pStyle w:val="Heading1"/>
        <w:keepNext/>
      </w:pPr>
      <w:r>
        <w:t>Section 3 - Statutory Officer Clearance</w:t>
      </w:r>
    </w:p>
    <w:p w:rsidR="007C3625" w:rsidRDefault="007C3625" w:rsidP="007C3625">
      <w:pPr>
        <w:keepNext/>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4"/>
        <w:gridCol w:w="367"/>
        <w:gridCol w:w="234"/>
        <w:gridCol w:w="3610"/>
      </w:tblGrid>
      <w:tr w:rsidR="007C3625" w:rsidTr="000417C3">
        <w:tc>
          <w:tcPr>
            <w:tcW w:w="4314" w:type="dxa"/>
            <w:tcBorders>
              <w:bottom w:val="nil"/>
              <w:right w:val="nil"/>
            </w:tcBorders>
          </w:tcPr>
          <w:p w:rsidR="007C3625" w:rsidRDefault="007C3625" w:rsidP="000417C3">
            <w:pPr>
              <w:pStyle w:val="Infotext"/>
            </w:pPr>
          </w:p>
          <w:p w:rsidR="007C3625" w:rsidRDefault="007C3625" w:rsidP="000417C3">
            <w:pPr>
              <w:pStyle w:val="Infotext"/>
            </w:pPr>
          </w:p>
        </w:tc>
        <w:tc>
          <w:tcPr>
            <w:tcW w:w="367" w:type="dxa"/>
            <w:tcBorders>
              <w:left w:val="nil"/>
              <w:right w:val="nil"/>
            </w:tcBorders>
          </w:tcPr>
          <w:p w:rsidR="007C3625" w:rsidRDefault="007C3625" w:rsidP="000417C3">
            <w:pPr>
              <w:pStyle w:val="Infotext"/>
            </w:pPr>
          </w:p>
        </w:tc>
        <w:tc>
          <w:tcPr>
            <w:tcW w:w="234" w:type="dxa"/>
            <w:tcBorders>
              <w:left w:val="nil"/>
              <w:bottom w:val="nil"/>
              <w:right w:val="nil"/>
            </w:tcBorders>
          </w:tcPr>
          <w:p w:rsidR="007C3625" w:rsidRDefault="007C3625" w:rsidP="000417C3">
            <w:pPr>
              <w:pStyle w:val="Infotext"/>
            </w:pPr>
          </w:p>
        </w:tc>
        <w:tc>
          <w:tcPr>
            <w:tcW w:w="3610" w:type="dxa"/>
            <w:tcBorders>
              <w:left w:val="nil"/>
              <w:bottom w:val="nil"/>
            </w:tcBorders>
          </w:tcPr>
          <w:p w:rsidR="007C3625" w:rsidRDefault="007C3625" w:rsidP="000417C3">
            <w:pPr>
              <w:pStyle w:val="Infotext"/>
            </w:pPr>
          </w:p>
          <w:p w:rsidR="007C3625" w:rsidRDefault="007C3625" w:rsidP="000417C3">
            <w:pPr>
              <w:pStyle w:val="Infotext"/>
            </w:pPr>
          </w:p>
        </w:tc>
      </w:tr>
      <w:tr w:rsidR="007C3625" w:rsidTr="000417C3">
        <w:tc>
          <w:tcPr>
            <w:tcW w:w="4314" w:type="dxa"/>
            <w:tcBorders>
              <w:top w:val="nil"/>
              <w:bottom w:val="nil"/>
            </w:tcBorders>
          </w:tcPr>
          <w:p w:rsidR="007C3625" w:rsidRDefault="007C3625" w:rsidP="00D15639">
            <w:pPr>
              <w:pStyle w:val="Infotext"/>
            </w:pPr>
            <w:r>
              <w:t xml:space="preserve">Name:  </w:t>
            </w:r>
            <w:r w:rsidR="000B45A8">
              <w:t>Sharon Daniels</w:t>
            </w:r>
          </w:p>
        </w:tc>
        <w:tc>
          <w:tcPr>
            <w:tcW w:w="367" w:type="dxa"/>
            <w:tcBorders>
              <w:bottom w:val="single" w:sz="4" w:space="0" w:color="auto"/>
            </w:tcBorders>
          </w:tcPr>
          <w:p w:rsidR="007C3625" w:rsidRDefault="000B45A8" w:rsidP="000417C3">
            <w:pPr>
              <w:pStyle w:val="Infotext"/>
            </w:pPr>
            <w:r>
              <w:t>x</w:t>
            </w:r>
          </w:p>
        </w:tc>
        <w:tc>
          <w:tcPr>
            <w:tcW w:w="234" w:type="dxa"/>
            <w:tcBorders>
              <w:top w:val="nil"/>
              <w:bottom w:val="nil"/>
              <w:right w:val="nil"/>
            </w:tcBorders>
          </w:tcPr>
          <w:p w:rsidR="007C3625" w:rsidRDefault="007C3625" w:rsidP="000417C3">
            <w:pPr>
              <w:pStyle w:val="Infotext"/>
            </w:pPr>
          </w:p>
        </w:tc>
        <w:tc>
          <w:tcPr>
            <w:tcW w:w="3610" w:type="dxa"/>
            <w:tcBorders>
              <w:top w:val="nil"/>
              <w:left w:val="nil"/>
              <w:bottom w:val="nil"/>
            </w:tcBorders>
          </w:tcPr>
          <w:p w:rsidR="007C3625" w:rsidRDefault="000B45A8" w:rsidP="000417C3">
            <w:pPr>
              <w:pStyle w:val="Infotext"/>
            </w:pPr>
            <w:r>
              <w:t xml:space="preserve">on behalf of the </w:t>
            </w:r>
            <w:r w:rsidR="007C3625">
              <w:t>Chief Financial Officer</w:t>
            </w:r>
          </w:p>
        </w:tc>
      </w:tr>
      <w:tr w:rsidR="007C3625" w:rsidTr="000417C3">
        <w:tc>
          <w:tcPr>
            <w:tcW w:w="4314" w:type="dxa"/>
            <w:tcBorders>
              <w:top w:val="nil"/>
              <w:right w:val="nil"/>
            </w:tcBorders>
          </w:tcPr>
          <w:p w:rsidR="007C3625" w:rsidRDefault="007C3625" w:rsidP="000417C3">
            <w:pPr>
              <w:pStyle w:val="Infotext"/>
            </w:pPr>
            <w:r>
              <w:t xml:space="preserve"> </w:t>
            </w:r>
          </w:p>
          <w:p w:rsidR="007C3625" w:rsidRDefault="007C3625" w:rsidP="00D15639">
            <w:pPr>
              <w:pStyle w:val="Infotext"/>
            </w:pPr>
            <w:r>
              <w:t xml:space="preserve">Date: </w:t>
            </w:r>
            <w:r w:rsidR="000B45A8">
              <w:t>9</w:t>
            </w:r>
            <w:r w:rsidR="000B45A8" w:rsidRPr="000B45A8">
              <w:rPr>
                <w:vertAlign w:val="superscript"/>
              </w:rPr>
              <w:t>th</w:t>
            </w:r>
            <w:r w:rsidR="000B45A8">
              <w:t xml:space="preserve"> February 2020</w:t>
            </w:r>
          </w:p>
        </w:tc>
        <w:tc>
          <w:tcPr>
            <w:tcW w:w="367" w:type="dxa"/>
            <w:tcBorders>
              <w:left w:val="nil"/>
              <w:bottom w:val="single" w:sz="4" w:space="0" w:color="auto"/>
              <w:right w:val="nil"/>
            </w:tcBorders>
          </w:tcPr>
          <w:p w:rsidR="007C3625" w:rsidRDefault="007C3625" w:rsidP="000417C3">
            <w:pPr>
              <w:pStyle w:val="Infotext"/>
            </w:pPr>
          </w:p>
        </w:tc>
        <w:tc>
          <w:tcPr>
            <w:tcW w:w="234" w:type="dxa"/>
            <w:tcBorders>
              <w:top w:val="nil"/>
              <w:left w:val="nil"/>
              <w:right w:val="nil"/>
            </w:tcBorders>
          </w:tcPr>
          <w:p w:rsidR="007C3625" w:rsidRDefault="007C3625" w:rsidP="000417C3">
            <w:pPr>
              <w:pStyle w:val="Infotext"/>
            </w:pPr>
          </w:p>
        </w:tc>
        <w:tc>
          <w:tcPr>
            <w:tcW w:w="3610" w:type="dxa"/>
            <w:tcBorders>
              <w:top w:val="nil"/>
              <w:left w:val="nil"/>
            </w:tcBorders>
          </w:tcPr>
          <w:p w:rsidR="007C3625" w:rsidRDefault="007C3625" w:rsidP="000417C3">
            <w:pPr>
              <w:pStyle w:val="Infotext"/>
            </w:pPr>
          </w:p>
        </w:tc>
      </w:tr>
      <w:tr w:rsidR="007C3625" w:rsidTr="000417C3">
        <w:tc>
          <w:tcPr>
            <w:tcW w:w="4314" w:type="dxa"/>
            <w:tcBorders>
              <w:bottom w:val="nil"/>
              <w:right w:val="nil"/>
            </w:tcBorders>
          </w:tcPr>
          <w:p w:rsidR="007C3625" w:rsidRDefault="007C3625" w:rsidP="000417C3">
            <w:pPr>
              <w:pStyle w:val="Infotext"/>
            </w:pPr>
          </w:p>
          <w:p w:rsidR="007C3625" w:rsidRDefault="007C3625" w:rsidP="000417C3">
            <w:pPr>
              <w:pStyle w:val="Infotext"/>
            </w:pPr>
          </w:p>
        </w:tc>
        <w:tc>
          <w:tcPr>
            <w:tcW w:w="367" w:type="dxa"/>
            <w:tcBorders>
              <w:left w:val="nil"/>
              <w:right w:val="nil"/>
            </w:tcBorders>
          </w:tcPr>
          <w:p w:rsidR="007C3625" w:rsidRDefault="007C3625" w:rsidP="000417C3">
            <w:pPr>
              <w:pStyle w:val="Infotext"/>
            </w:pPr>
          </w:p>
        </w:tc>
        <w:tc>
          <w:tcPr>
            <w:tcW w:w="234" w:type="dxa"/>
            <w:tcBorders>
              <w:left w:val="nil"/>
              <w:bottom w:val="nil"/>
              <w:right w:val="nil"/>
            </w:tcBorders>
          </w:tcPr>
          <w:p w:rsidR="007C3625" w:rsidRDefault="007C3625" w:rsidP="000417C3">
            <w:pPr>
              <w:pStyle w:val="Infotext"/>
            </w:pPr>
          </w:p>
        </w:tc>
        <w:tc>
          <w:tcPr>
            <w:tcW w:w="3610" w:type="dxa"/>
            <w:tcBorders>
              <w:left w:val="nil"/>
              <w:bottom w:val="nil"/>
            </w:tcBorders>
          </w:tcPr>
          <w:p w:rsidR="007C3625" w:rsidRDefault="007C3625" w:rsidP="000417C3">
            <w:pPr>
              <w:pStyle w:val="Infotext"/>
            </w:pPr>
          </w:p>
          <w:p w:rsidR="007C3625" w:rsidRDefault="007C3625" w:rsidP="000417C3">
            <w:pPr>
              <w:pStyle w:val="Infotext"/>
            </w:pPr>
            <w:r>
              <w:t xml:space="preserve">on behalf of the </w:t>
            </w:r>
          </w:p>
        </w:tc>
      </w:tr>
      <w:tr w:rsidR="007C3625" w:rsidTr="000417C3">
        <w:tc>
          <w:tcPr>
            <w:tcW w:w="4314" w:type="dxa"/>
            <w:tcBorders>
              <w:top w:val="nil"/>
              <w:bottom w:val="nil"/>
            </w:tcBorders>
          </w:tcPr>
          <w:p w:rsidR="007C3625" w:rsidRDefault="007C3625" w:rsidP="00D15639">
            <w:pPr>
              <w:pStyle w:val="Infotext"/>
            </w:pPr>
            <w:r>
              <w:t xml:space="preserve">Name: </w:t>
            </w:r>
            <w:r w:rsidR="000C39B3">
              <w:t xml:space="preserve">Matthew Adams </w:t>
            </w:r>
            <w:r>
              <w:t xml:space="preserve"> </w:t>
            </w:r>
          </w:p>
        </w:tc>
        <w:tc>
          <w:tcPr>
            <w:tcW w:w="367" w:type="dxa"/>
            <w:tcBorders>
              <w:bottom w:val="single" w:sz="4" w:space="0" w:color="auto"/>
            </w:tcBorders>
          </w:tcPr>
          <w:p w:rsidR="007C3625" w:rsidRDefault="000C39B3" w:rsidP="000417C3">
            <w:pPr>
              <w:pStyle w:val="Infotext"/>
            </w:pPr>
            <w:r>
              <w:t>x</w:t>
            </w:r>
          </w:p>
        </w:tc>
        <w:tc>
          <w:tcPr>
            <w:tcW w:w="234" w:type="dxa"/>
            <w:tcBorders>
              <w:top w:val="nil"/>
              <w:bottom w:val="nil"/>
              <w:right w:val="nil"/>
            </w:tcBorders>
          </w:tcPr>
          <w:p w:rsidR="007C3625" w:rsidRDefault="007C3625" w:rsidP="000417C3">
            <w:pPr>
              <w:pStyle w:val="Infotext"/>
            </w:pPr>
          </w:p>
        </w:tc>
        <w:tc>
          <w:tcPr>
            <w:tcW w:w="3610" w:type="dxa"/>
            <w:tcBorders>
              <w:top w:val="nil"/>
              <w:left w:val="nil"/>
              <w:bottom w:val="nil"/>
            </w:tcBorders>
          </w:tcPr>
          <w:p w:rsidR="007C3625" w:rsidRDefault="007C3625" w:rsidP="000417C3">
            <w:pPr>
              <w:pStyle w:val="Infotext"/>
            </w:pPr>
            <w:r>
              <w:t>Monitoring Officer</w:t>
            </w:r>
          </w:p>
        </w:tc>
      </w:tr>
      <w:tr w:rsidR="007C3625" w:rsidTr="000417C3">
        <w:tc>
          <w:tcPr>
            <w:tcW w:w="4314" w:type="dxa"/>
            <w:tcBorders>
              <w:top w:val="nil"/>
              <w:right w:val="nil"/>
            </w:tcBorders>
          </w:tcPr>
          <w:p w:rsidR="007C3625" w:rsidRDefault="007C3625" w:rsidP="000417C3">
            <w:pPr>
              <w:pStyle w:val="Infotext"/>
            </w:pPr>
          </w:p>
          <w:p w:rsidR="007C3625" w:rsidRDefault="007C3625" w:rsidP="00D15639">
            <w:pPr>
              <w:pStyle w:val="Infotext"/>
            </w:pPr>
            <w:r>
              <w:t xml:space="preserve">Date:  </w:t>
            </w:r>
            <w:r w:rsidR="000C39B3">
              <w:t>11</w:t>
            </w:r>
            <w:r w:rsidR="000C39B3" w:rsidRPr="000C39B3">
              <w:rPr>
                <w:vertAlign w:val="superscript"/>
              </w:rPr>
              <w:t>th</w:t>
            </w:r>
            <w:r w:rsidR="000C39B3">
              <w:t xml:space="preserve"> February 2020</w:t>
            </w:r>
          </w:p>
        </w:tc>
        <w:tc>
          <w:tcPr>
            <w:tcW w:w="367" w:type="dxa"/>
            <w:tcBorders>
              <w:left w:val="nil"/>
              <w:right w:val="nil"/>
            </w:tcBorders>
          </w:tcPr>
          <w:p w:rsidR="007C3625" w:rsidRDefault="007C3625" w:rsidP="000417C3">
            <w:pPr>
              <w:pStyle w:val="Infotext"/>
            </w:pPr>
          </w:p>
        </w:tc>
        <w:tc>
          <w:tcPr>
            <w:tcW w:w="234" w:type="dxa"/>
            <w:tcBorders>
              <w:top w:val="nil"/>
              <w:left w:val="nil"/>
              <w:right w:val="nil"/>
            </w:tcBorders>
          </w:tcPr>
          <w:p w:rsidR="007C3625" w:rsidRDefault="007C3625" w:rsidP="000417C3">
            <w:pPr>
              <w:pStyle w:val="Infotext"/>
            </w:pPr>
          </w:p>
        </w:tc>
        <w:tc>
          <w:tcPr>
            <w:tcW w:w="3610" w:type="dxa"/>
            <w:tcBorders>
              <w:top w:val="nil"/>
              <w:left w:val="nil"/>
            </w:tcBorders>
          </w:tcPr>
          <w:p w:rsidR="007C3625" w:rsidRDefault="007C3625" w:rsidP="000417C3">
            <w:pPr>
              <w:pStyle w:val="Infotext"/>
            </w:pPr>
          </w:p>
          <w:p w:rsidR="007C3625" w:rsidRDefault="007C3625" w:rsidP="000417C3">
            <w:pPr>
              <w:pStyle w:val="Infotext"/>
            </w:pPr>
          </w:p>
        </w:tc>
      </w:tr>
      <w:tr w:rsidR="007C3625" w:rsidTr="000417C3">
        <w:tc>
          <w:tcPr>
            <w:tcW w:w="4314" w:type="dxa"/>
            <w:tcBorders>
              <w:bottom w:val="nil"/>
              <w:right w:val="nil"/>
            </w:tcBorders>
          </w:tcPr>
          <w:p w:rsidR="007C3625" w:rsidRDefault="007C3625" w:rsidP="000417C3">
            <w:pPr>
              <w:pStyle w:val="Infotext"/>
            </w:pPr>
          </w:p>
          <w:p w:rsidR="007C3625" w:rsidRDefault="007C3625" w:rsidP="000417C3">
            <w:pPr>
              <w:pStyle w:val="Infotext"/>
            </w:pPr>
          </w:p>
        </w:tc>
        <w:tc>
          <w:tcPr>
            <w:tcW w:w="367" w:type="dxa"/>
            <w:tcBorders>
              <w:left w:val="nil"/>
              <w:right w:val="nil"/>
            </w:tcBorders>
          </w:tcPr>
          <w:p w:rsidR="007C3625" w:rsidRDefault="007C3625" w:rsidP="000417C3">
            <w:pPr>
              <w:pStyle w:val="Infotext"/>
            </w:pPr>
          </w:p>
        </w:tc>
        <w:tc>
          <w:tcPr>
            <w:tcW w:w="234" w:type="dxa"/>
            <w:tcBorders>
              <w:left w:val="nil"/>
              <w:bottom w:val="nil"/>
              <w:right w:val="nil"/>
            </w:tcBorders>
          </w:tcPr>
          <w:p w:rsidR="007C3625" w:rsidRDefault="007C3625" w:rsidP="000417C3">
            <w:pPr>
              <w:pStyle w:val="Infotext"/>
            </w:pPr>
          </w:p>
        </w:tc>
        <w:tc>
          <w:tcPr>
            <w:tcW w:w="3610" w:type="dxa"/>
            <w:tcBorders>
              <w:left w:val="nil"/>
              <w:bottom w:val="nil"/>
            </w:tcBorders>
          </w:tcPr>
          <w:p w:rsidR="007C3625" w:rsidRDefault="007C3625" w:rsidP="000417C3">
            <w:pPr>
              <w:pStyle w:val="Infotext"/>
            </w:pPr>
          </w:p>
          <w:p w:rsidR="007C3625" w:rsidRDefault="007C3625" w:rsidP="000417C3">
            <w:pPr>
              <w:pStyle w:val="Infotext"/>
            </w:pPr>
          </w:p>
        </w:tc>
      </w:tr>
      <w:tr w:rsidR="007C3625" w:rsidTr="000417C3">
        <w:tc>
          <w:tcPr>
            <w:tcW w:w="4314" w:type="dxa"/>
            <w:tcBorders>
              <w:top w:val="nil"/>
              <w:bottom w:val="nil"/>
            </w:tcBorders>
          </w:tcPr>
          <w:p w:rsidR="007C3625" w:rsidRDefault="007C3625" w:rsidP="00D15639">
            <w:pPr>
              <w:pStyle w:val="Infotext"/>
            </w:pPr>
            <w:r>
              <w:t xml:space="preserve">Name:  </w:t>
            </w:r>
            <w:r w:rsidR="000B45A8">
              <w:t>Nimesh Mehta</w:t>
            </w:r>
          </w:p>
        </w:tc>
        <w:tc>
          <w:tcPr>
            <w:tcW w:w="367" w:type="dxa"/>
            <w:tcBorders>
              <w:bottom w:val="single" w:sz="4" w:space="0" w:color="auto"/>
            </w:tcBorders>
          </w:tcPr>
          <w:p w:rsidR="007C3625" w:rsidRDefault="000B45A8" w:rsidP="000417C3">
            <w:pPr>
              <w:pStyle w:val="Infotext"/>
            </w:pPr>
            <w:r>
              <w:t>x</w:t>
            </w:r>
          </w:p>
        </w:tc>
        <w:tc>
          <w:tcPr>
            <w:tcW w:w="234" w:type="dxa"/>
            <w:tcBorders>
              <w:top w:val="nil"/>
              <w:bottom w:val="nil"/>
              <w:right w:val="nil"/>
            </w:tcBorders>
          </w:tcPr>
          <w:p w:rsidR="007C3625" w:rsidRDefault="007C3625" w:rsidP="000417C3">
            <w:pPr>
              <w:pStyle w:val="Infotext"/>
            </w:pPr>
          </w:p>
        </w:tc>
        <w:tc>
          <w:tcPr>
            <w:tcW w:w="3610" w:type="dxa"/>
            <w:tcBorders>
              <w:top w:val="nil"/>
              <w:left w:val="nil"/>
              <w:bottom w:val="nil"/>
            </w:tcBorders>
          </w:tcPr>
          <w:p w:rsidR="007C3625" w:rsidRDefault="007C3625" w:rsidP="000417C3">
            <w:pPr>
              <w:pStyle w:val="Infotext"/>
            </w:pPr>
            <w:r>
              <w:t>Head of Procurement</w:t>
            </w:r>
          </w:p>
        </w:tc>
      </w:tr>
      <w:tr w:rsidR="007C3625" w:rsidTr="000417C3">
        <w:tc>
          <w:tcPr>
            <w:tcW w:w="4314" w:type="dxa"/>
            <w:tcBorders>
              <w:top w:val="nil"/>
              <w:right w:val="nil"/>
            </w:tcBorders>
          </w:tcPr>
          <w:p w:rsidR="007C3625" w:rsidRDefault="007C3625" w:rsidP="000417C3">
            <w:pPr>
              <w:pStyle w:val="Infotext"/>
            </w:pPr>
          </w:p>
          <w:p w:rsidR="007C3625" w:rsidRDefault="007C3625" w:rsidP="00D15639">
            <w:pPr>
              <w:pStyle w:val="Infotext"/>
            </w:pPr>
            <w:r>
              <w:t xml:space="preserve">Date: </w:t>
            </w:r>
            <w:r w:rsidR="000B45A8">
              <w:t>5</w:t>
            </w:r>
            <w:r w:rsidR="000B45A8" w:rsidRPr="000B45A8">
              <w:rPr>
                <w:vertAlign w:val="superscript"/>
              </w:rPr>
              <w:t>th</w:t>
            </w:r>
            <w:r w:rsidR="000B45A8">
              <w:t xml:space="preserve"> February 2020</w:t>
            </w:r>
          </w:p>
        </w:tc>
        <w:tc>
          <w:tcPr>
            <w:tcW w:w="367" w:type="dxa"/>
            <w:tcBorders>
              <w:left w:val="nil"/>
              <w:right w:val="nil"/>
            </w:tcBorders>
          </w:tcPr>
          <w:p w:rsidR="007C3625" w:rsidRDefault="007C3625" w:rsidP="000417C3">
            <w:pPr>
              <w:pStyle w:val="Infotext"/>
            </w:pPr>
          </w:p>
        </w:tc>
        <w:tc>
          <w:tcPr>
            <w:tcW w:w="234" w:type="dxa"/>
            <w:tcBorders>
              <w:top w:val="nil"/>
              <w:left w:val="nil"/>
              <w:right w:val="nil"/>
            </w:tcBorders>
          </w:tcPr>
          <w:p w:rsidR="007C3625" w:rsidRDefault="007C3625" w:rsidP="000417C3">
            <w:pPr>
              <w:pStyle w:val="Infotext"/>
            </w:pPr>
          </w:p>
        </w:tc>
        <w:tc>
          <w:tcPr>
            <w:tcW w:w="3610" w:type="dxa"/>
            <w:tcBorders>
              <w:top w:val="nil"/>
              <w:left w:val="nil"/>
            </w:tcBorders>
          </w:tcPr>
          <w:p w:rsidR="007C3625" w:rsidRDefault="007C3625" w:rsidP="000417C3">
            <w:pPr>
              <w:pStyle w:val="Infotext"/>
            </w:pPr>
          </w:p>
          <w:p w:rsidR="007C3625" w:rsidRDefault="007C3625" w:rsidP="000417C3">
            <w:pPr>
              <w:pStyle w:val="Infotext"/>
            </w:pPr>
          </w:p>
        </w:tc>
      </w:tr>
    </w:tbl>
    <w:p w:rsidR="007C3625" w:rsidRDefault="007C3625" w:rsidP="007C3625"/>
    <w:p w:rsidR="007C3625" w:rsidRDefault="007C3625" w:rsidP="007C362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4"/>
        <w:gridCol w:w="383"/>
        <w:gridCol w:w="234"/>
        <w:gridCol w:w="3594"/>
      </w:tblGrid>
      <w:tr w:rsidR="007C3625" w:rsidTr="000417C3">
        <w:tc>
          <w:tcPr>
            <w:tcW w:w="4752" w:type="dxa"/>
            <w:tcBorders>
              <w:bottom w:val="nil"/>
              <w:right w:val="nil"/>
            </w:tcBorders>
          </w:tcPr>
          <w:p w:rsidR="007C3625" w:rsidRDefault="007C3625" w:rsidP="000417C3">
            <w:pPr>
              <w:pStyle w:val="Infotext"/>
            </w:pPr>
          </w:p>
          <w:p w:rsidR="007C3625" w:rsidRDefault="007C3625" w:rsidP="000417C3">
            <w:pPr>
              <w:pStyle w:val="Infotext"/>
            </w:pPr>
          </w:p>
        </w:tc>
        <w:tc>
          <w:tcPr>
            <w:tcW w:w="387" w:type="dxa"/>
            <w:tcBorders>
              <w:left w:val="nil"/>
              <w:right w:val="nil"/>
            </w:tcBorders>
          </w:tcPr>
          <w:p w:rsidR="007C3625" w:rsidRDefault="007C3625" w:rsidP="000417C3">
            <w:pPr>
              <w:pStyle w:val="Infotext"/>
            </w:pPr>
          </w:p>
        </w:tc>
        <w:tc>
          <w:tcPr>
            <w:tcW w:w="236" w:type="dxa"/>
            <w:tcBorders>
              <w:left w:val="nil"/>
              <w:bottom w:val="nil"/>
              <w:right w:val="nil"/>
            </w:tcBorders>
          </w:tcPr>
          <w:p w:rsidR="007C3625" w:rsidRDefault="007C3625" w:rsidP="000417C3">
            <w:pPr>
              <w:pStyle w:val="Infotext"/>
            </w:pPr>
          </w:p>
        </w:tc>
        <w:tc>
          <w:tcPr>
            <w:tcW w:w="3890" w:type="dxa"/>
            <w:tcBorders>
              <w:left w:val="nil"/>
              <w:bottom w:val="nil"/>
            </w:tcBorders>
          </w:tcPr>
          <w:p w:rsidR="007C3625" w:rsidRDefault="007C3625" w:rsidP="000417C3">
            <w:pPr>
              <w:pStyle w:val="Infotext"/>
            </w:pPr>
          </w:p>
          <w:p w:rsidR="007C3625" w:rsidRDefault="007C3625" w:rsidP="000417C3">
            <w:pPr>
              <w:pStyle w:val="Infotext"/>
            </w:pPr>
          </w:p>
        </w:tc>
      </w:tr>
      <w:tr w:rsidR="007C3625" w:rsidTr="000417C3">
        <w:tc>
          <w:tcPr>
            <w:tcW w:w="4752" w:type="dxa"/>
            <w:tcBorders>
              <w:top w:val="nil"/>
              <w:bottom w:val="nil"/>
            </w:tcBorders>
          </w:tcPr>
          <w:p w:rsidR="007C3625" w:rsidRDefault="007C3625" w:rsidP="00D15639">
            <w:pPr>
              <w:pStyle w:val="Infotext"/>
            </w:pPr>
            <w:r>
              <w:t xml:space="preserve">Name:  </w:t>
            </w:r>
            <w:r w:rsidR="000C39B3">
              <w:t>Sean Harriss</w:t>
            </w:r>
          </w:p>
        </w:tc>
        <w:tc>
          <w:tcPr>
            <w:tcW w:w="387" w:type="dxa"/>
            <w:tcBorders>
              <w:bottom w:val="single" w:sz="4" w:space="0" w:color="auto"/>
            </w:tcBorders>
          </w:tcPr>
          <w:p w:rsidR="007C3625" w:rsidRDefault="000B45A8" w:rsidP="000417C3">
            <w:pPr>
              <w:pStyle w:val="Infotext"/>
            </w:pPr>
            <w:r>
              <w:t>x</w:t>
            </w:r>
          </w:p>
        </w:tc>
        <w:tc>
          <w:tcPr>
            <w:tcW w:w="236" w:type="dxa"/>
            <w:tcBorders>
              <w:top w:val="nil"/>
              <w:bottom w:val="nil"/>
              <w:right w:val="nil"/>
            </w:tcBorders>
          </w:tcPr>
          <w:p w:rsidR="007C3625" w:rsidRDefault="007C3625" w:rsidP="000417C3">
            <w:pPr>
              <w:pStyle w:val="Infotext"/>
            </w:pPr>
          </w:p>
        </w:tc>
        <w:tc>
          <w:tcPr>
            <w:tcW w:w="3890" w:type="dxa"/>
            <w:tcBorders>
              <w:top w:val="nil"/>
              <w:left w:val="nil"/>
              <w:bottom w:val="nil"/>
            </w:tcBorders>
          </w:tcPr>
          <w:p w:rsidR="007C3625" w:rsidRDefault="007C3625" w:rsidP="000417C3">
            <w:pPr>
              <w:pStyle w:val="Infotext"/>
            </w:pPr>
            <w:r>
              <w:t>Chief Executive</w:t>
            </w:r>
          </w:p>
        </w:tc>
      </w:tr>
      <w:tr w:rsidR="007C3625" w:rsidTr="000417C3">
        <w:tc>
          <w:tcPr>
            <w:tcW w:w="4752" w:type="dxa"/>
            <w:tcBorders>
              <w:top w:val="nil"/>
              <w:right w:val="nil"/>
            </w:tcBorders>
          </w:tcPr>
          <w:p w:rsidR="007C3625" w:rsidRDefault="007C3625" w:rsidP="000417C3">
            <w:pPr>
              <w:pStyle w:val="Infotext"/>
            </w:pPr>
            <w:r>
              <w:t xml:space="preserve"> </w:t>
            </w:r>
          </w:p>
          <w:p w:rsidR="007C3625" w:rsidRDefault="007C3625" w:rsidP="00C52644">
            <w:pPr>
              <w:pStyle w:val="Infotext"/>
            </w:pPr>
            <w:r>
              <w:t xml:space="preserve">Date:  </w:t>
            </w:r>
            <w:r w:rsidR="00C52644">
              <w:t>11</w:t>
            </w:r>
            <w:r w:rsidR="00C52644" w:rsidRPr="00C52644">
              <w:rPr>
                <w:vertAlign w:val="superscript"/>
              </w:rPr>
              <w:t>th</w:t>
            </w:r>
            <w:r w:rsidR="00C52644">
              <w:t xml:space="preserve"> March</w:t>
            </w:r>
            <w:r w:rsidR="000B45A8">
              <w:t xml:space="preserve"> 2020</w:t>
            </w:r>
          </w:p>
        </w:tc>
        <w:tc>
          <w:tcPr>
            <w:tcW w:w="387" w:type="dxa"/>
            <w:tcBorders>
              <w:left w:val="nil"/>
              <w:bottom w:val="single" w:sz="4" w:space="0" w:color="auto"/>
              <w:right w:val="nil"/>
            </w:tcBorders>
          </w:tcPr>
          <w:p w:rsidR="007C3625" w:rsidRDefault="007C3625" w:rsidP="000417C3">
            <w:pPr>
              <w:pStyle w:val="Infotext"/>
            </w:pPr>
          </w:p>
        </w:tc>
        <w:tc>
          <w:tcPr>
            <w:tcW w:w="236" w:type="dxa"/>
            <w:tcBorders>
              <w:top w:val="nil"/>
              <w:left w:val="nil"/>
              <w:right w:val="nil"/>
            </w:tcBorders>
          </w:tcPr>
          <w:p w:rsidR="007C3625" w:rsidRDefault="007C3625" w:rsidP="000417C3">
            <w:pPr>
              <w:pStyle w:val="Infotext"/>
            </w:pPr>
          </w:p>
        </w:tc>
        <w:tc>
          <w:tcPr>
            <w:tcW w:w="3890" w:type="dxa"/>
            <w:tcBorders>
              <w:top w:val="nil"/>
              <w:left w:val="nil"/>
            </w:tcBorders>
          </w:tcPr>
          <w:p w:rsidR="007C3625" w:rsidRDefault="007C3625" w:rsidP="000417C3">
            <w:pPr>
              <w:pStyle w:val="Infotext"/>
            </w:pPr>
          </w:p>
        </w:tc>
      </w:tr>
    </w:tbl>
    <w:p w:rsidR="007C3625" w:rsidRDefault="007C3625" w:rsidP="007C3625"/>
    <w:p w:rsidR="00435B5D" w:rsidRDefault="00435B5D" w:rsidP="00333F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8"/>
        <w:gridCol w:w="3367"/>
      </w:tblGrid>
      <w:tr w:rsidR="00333FAA">
        <w:trPr>
          <w:trHeight w:val="965"/>
        </w:trPr>
        <w:tc>
          <w:tcPr>
            <w:tcW w:w="3025" w:type="pct"/>
            <w:tcBorders>
              <w:right w:val="nil"/>
            </w:tcBorders>
          </w:tcPr>
          <w:p w:rsidR="00333FAA" w:rsidRPr="00435B5D" w:rsidRDefault="00435B5D" w:rsidP="00A53B04">
            <w:pPr>
              <w:pStyle w:val="Infotext"/>
              <w:rPr>
                <w:rFonts w:ascii="Arial Black" w:hAnsi="Arial Black"/>
                <w:color w:val="FF0000"/>
              </w:rPr>
            </w:pPr>
            <w:r w:rsidRPr="00435B5D">
              <w:rPr>
                <w:rFonts w:ascii="Arial Black" w:hAnsi="Arial Black"/>
                <w:color w:val="FF0000"/>
              </w:rPr>
              <w:t>MANDATORY</w:t>
            </w:r>
          </w:p>
          <w:p w:rsidR="00333FAA" w:rsidRDefault="00333FAA" w:rsidP="00A53B04">
            <w:pPr>
              <w:pStyle w:val="Infotext"/>
              <w:rPr>
                <w:rFonts w:ascii="Arial Black" w:hAnsi="Arial Black"/>
              </w:rPr>
            </w:pPr>
            <w:r>
              <w:rPr>
                <w:rFonts w:ascii="Arial Black" w:hAnsi="Arial Black"/>
              </w:rPr>
              <w:t>Ward Councillors notified:</w:t>
            </w:r>
          </w:p>
          <w:p w:rsidR="00333FAA" w:rsidRPr="00BD2E91" w:rsidRDefault="00333FAA" w:rsidP="00A53B04">
            <w:pPr>
              <w:pStyle w:val="Infotext"/>
              <w:rPr>
                <w:color w:val="FF0000"/>
              </w:rPr>
            </w:pPr>
          </w:p>
        </w:tc>
        <w:tc>
          <w:tcPr>
            <w:tcW w:w="1975" w:type="pct"/>
            <w:tcBorders>
              <w:left w:val="nil"/>
            </w:tcBorders>
          </w:tcPr>
          <w:p w:rsidR="00333FAA" w:rsidRDefault="00333FAA" w:rsidP="00A53B04">
            <w:pPr>
              <w:pStyle w:val="Infotext"/>
            </w:pPr>
          </w:p>
          <w:p w:rsidR="00333FAA" w:rsidRDefault="00FA0D57" w:rsidP="00A53B04">
            <w:pPr>
              <w:pStyle w:val="Infotext"/>
              <w:rPr>
                <w:i/>
                <w:sz w:val="24"/>
                <w:szCs w:val="24"/>
              </w:rPr>
            </w:pPr>
            <w:r>
              <w:rPr>
                <w:b/>
              </w:rPr>
              <w:t>No – All Wards Affected</w:t>
            </w:r>
          </w:p>
          <w:p w:rsidR="00333FAA" w:rsidRPr="003D78F6" w:rsidRDefault="00333FAA" w:rsidP="00A53B04">
            <w:pPr>
              <w:pStyle w:val="Infotext"/>
              <w:ind w:left="173"/>
              <w:rPr>
                <w:i/>
                <w:sz w:val="24"/>
                <w:szCs w:val="24"/>
              </w:rPr>
            </w:pPr>
          </w:p>
        </w:tc>
      </w:tr>
      <w:tr w:rsidR="00333FAA" w:rsidRPr="00303FD6">
        <w:trPr>
          <w:trHeight w:val="965"/>
        </w:trPr>
        <w:tc>
          <w:tcPr>
            <w:tcW w:w="3025" w:type="pct"/>
            <w:tcBorders>
              <w:right w:val="nil"/>
            </w:tcBorders>
          </w:tcPr>
          <w:p w:rsidR="00333FAA" w:rsidRDefault="00333FAA" w:rsidP="00A53B04">
            <w:pPr>
              <w:pStyle w:val="Infotext"/>
              <w:rPr>
                <w:rFonts w:ascii="Arial Black" w:hAnsi="Arial Black"/>
                <w:color w:val="FF0000"/>
              </w:rPr>
            </w:pPr>
          </w:p>
          <w:p w:rsidR="00333FAA" w:rsidRPr="00202D79" w:rsidRDefault="00333FAA" w:rsidP="00A53B04">
            <w:pPr>
              <w:pStyle w:val="Infotext"/>
              <w:rPr>
                <w:rFonts w:ascii="Arial Black" w:hAnsi="Arial Black"/>
              </w:rPr>
            </w:pPr>
            <w:proofErr w:type="spellStart"/>
            <w:r w:rsidRPr="00202D79">
              <w:rPr>
                <w:rFonts w:ascii="Arial Black" w:hAnsi="Arial Black"/>
              </w:rPr>
              <w:t>EqIA</w:t>
            </w:r>
            <w:proofErr w:type="spellEnd"/>
            <w:r w:rsidRPr="00202D79">
              <w:rPr>
                <w:rFonts w:ascii="Arial Black" w:hAnsi="Arial Black"/>
              </w:rPr>
              <w:t xml:space="preserve"> carried out:</w:t>
            </w:r>
          </w:p>
          <w:p w:rsidR="00333FAA" w:rsidRPr="00202D79" w:rsidRDefault="00333FAA" w:rsidP="00A53B04">
            <w:pPr>
              <w:pStyle w:val="Infotext"/>
              <w:rPr>
                <w:rFonts w:ascii="Arial Black" w:hAnsi="Arial Black"/>
              </w:rPr>
            </w:pPr>
          </w:p>
          <w:p w:rsidR="00333FAA" w:rsidRPr="00303FD6" w:rsidRDefault="00333FAA" w:rsidP="00FD2285">
            <w:pPr>
              <w:pStyle w:val="Infotext"/>
              <w:rPr>
                <w:rFonts w:ascii="Arial Black" w:hAnsi="Arial Black"/>
                <w:color w:val="FF0000"/>
              </w:rPr>
            </w:pPr>
            <w:proofErr w:type="spellStart"/>
            <w:r w:rsidRPr="00202D79">
              <w:rPr>
                <w:rFonts w:ascii="Arial Black" w:hAnsi="Arial Black"/>
              </w:rPr>
              <w:t>EqIA</w:t>
            </w:r>
            <w:proofErr w:type="spellEnd"/>
            <w:r w:rsidRPr="00202D79">
              <w:rPr>
                <w:rFonts w:ascii="Arial Black" w:hAnsi="Arial Black"/>
              </w:rPr>
              <w:t xml:space="preserve"> cleared by:</w:t>
            </w:r>
            <w:r w:rsidR="00FA0D57">
              <w:rPr>
                <w:rFonts w:ascii="Arial Black" w:hAnsi="Arial Black"/>
              </w:rPr>
              <w:t xml:space="preserve"> </w:t>
            </w:r>
          </w:p>
        </w:tc>
        <w:tc>
          <w:tcPr>
            <w:tcW w:w="1975" w:type="pct"/>
            <w:tcBorders>
              <w:left w:val="nil"/>
            </w:tcBorders>
          </w:tcPr>
          <w:p w:rsidR="00333FAA" w:rsidRDefault="00333FAA" w:rsidP="00A53B04">
            <w:pPr>
              <w:pStyle w:val="Infotext"/>
              <w:rPr>
                <w:b/>
                <w:color w:val="FF0000"/>
              </w:rPr>
            </w:pPr>
          </w:p>
          <w:p w:rsidR="00333FAA" w:rsidRDefault="00FD2285" w:rsidP="00FA0D57">
            <w:pPr>
              <w:pStyle w:val="Infotext"/>
              <w:rPr>
                <w:i/>
                <w:sz w:val="24"/>
                <w:szCs w:val="24"/>
              </w:rPr>
            </w:pPr>
            <w:r>
              <w:rPr>
                <w:b/>
              </w:rPr>
              <w:t>No</w:t>
            </w:r>
          </w:p>
          <w:p w:rsidR="00333FAA" w:rsidRPr="00303FD6" w:rsidRDefault="00333FAA" w:rsidP="00A53B04">
            <w:pPr>
              <w:pStyle w:val="Infotext"/>
              <w:rPr>
                <w:b/>
                <w:color w:val="FF0000"/>
              </w:rPr>
            </w:pPr>
          </w:p>
          <w:p w:rsidR="00333FAA" w:rsidRPr="00303FD6" w:rsidRDefault="00333FAA" w:rsidP="00FA0D57">
            <w:pPr>
              <w:pStyle w:val="Infotext"/>
              <w:rPr>
                <w:color w:val="FF0000"/>
              </w:rPr>
            </w:pPr>
          </w:p>
        </w:tc>
      </w:tr>
    </w:tbl>
    <w:p w:rsidR="00333FAA" w:rsidRDefault="00333FAA" w:rsidP="00333FAA"/>
    <w:p w:rsidR="002548D1" w:rsidRDefault="002548D1" w:rsidP="00333FAA"/>
    <w:p w:rsidR="00333FAA" w:rsidRDefault="00333FAA" w:rsidP="00333FAA">
      <w:pPr>
        <w:pStyle w:val="Heading1"/>
        <w:keepNext/>
      </w:pPr>
      <w:r>
        <w:lastRenderedPageBreak/>
        <w:t xml:space="preserve">Section </w:t>
      </w:r>
      <w:r w:rsidR="00A20113">
        <w:t>4</w:t>
      </w:r>
      <w:r>
        <w:t xml:space="preserve"> - Contact Details and Background Papers</w:t>
      </w:r>
    </w:p>
    <w:p w:rsidR="00333FAA" w:rsidRDefault="00333FAA" w:rsidP="00333FAA">
      <w:pPr>
        <w:keepNext/>
        <w:rPr>
          <w:rFonts w:cs="Arial"/>
        </w:rPr>
      </w:pPr>
    </w:p>
    <w:p w:rsidR="00333FAA" w:rsidRDefault="00333FAA" w:rsidP="00333FAA">
      <w:pPr>
        <w:keepNext/>
        <w:rPr>
          <w:rFonts w:cs="Arial"/>
        </w:rPr>
      </w:pPr>
    </w:p>
    <w:p w:rsidR="00333FAA" w:rsidRPr="005808FB" w:rsidRDefault="00333FAA" w:rsidP="00333FAA">
      <w:pPr>
        <w:pStyle w:val="Infotext"/>
        <w:rPr>
          <w:color w:val="FF0000"/>
        </w:rPr>
      </w:pPr>
      <w:r w:rsidRPr="004E47FC">
        <w:rPr>
          <w:b/>
        </w:rPr>
        <w:t xml:space="preserve">Contact:  </w:t>
      </w:r>
      <w:r w:rsidR="002F11BF">
        <w:t>Alex Dewsnap</w:t>
      </w:r>
      <w:r w:rsidR="00C439AE" w:rsidRPr="001411B7">
        <w:t xml:space="preserve">, </w:t>
      </w:r>
      <w:r w:rsidR="002F11BF">
        <w:t>Director of Strategy</w:t>
      </w:r>
      <w:r w:rsidR="00D15639">
        <w:t xml:space="preserve"> and Partnerships</w:t>
      </w:r>
      <w:r w:rsidR="00C439AE" w:rsidRPr="001411B7">
        <w:t xml:space="preserve">, </w:t>
      </w:r>
      <w:r w:rsidR="00C439AE">
        <w:t xml:space="preserve">Ext </w:t>
      </w:r>
      <w:r w:rsidR="002F11BF">
        <w:t>8250</w:t>
      </w:r>
      <w:r w:rsidR="00C439AE" w:rsidRPr="001411B7">
        <w:t xml:space="preserve">, </w:t>
      </w:r>
      <w:r w:rsidR="002F11BF">
        <w:t>alex.dewsnap</w:t>
      </w:r>
      <w:r w:rsidR="00C439AE" w:rsidRPr="001411B7">
        <w:t>@harrow.gov.uk</w:t>
      </w:r>
    </w:p>
    <w:p w:rsidR="00333FAA" w:rsidRDefault="00333FAA" w:rsidP="00333FAA"/>
    <w:p w:rsidR="00333FAA" w:rsidRDefault="00333FAA" w:rsidP="00333FAA">
      <w:pPr>
        <w:pStyle w:val="Infotext"/>
        <w:rPr>
          <w:b/>
        </w:rPr>
      </w:pPr>
      <w:r w:rsidRPr="004E47FC">
        <w:rPr>
          <w:b/>
        </w:rPr>
        <w:t xml:space="preserve">Background Papers: </w:t>
      </w:r>
      <w:r w:rsidR="005808FB">
        <w:rPr>
          <w:b/>
        </w:rPr>
        <w:t xml:space="preserve"> </w:t>
      </w:r>
      <w:r w:rsidR="002F11BF">
        <w:rPr>
          <w:b/>
        </w:rPr>
        <w:t>None</w:t>
      </w:r>
    </w:p>
    <w:p w:rsidR="00333FAA" w:rsidRDefault="00333FAA" w:rsidP="00333FAA">
      <w:pPr>
        <w:pStyle w:val="Infotext"/>
        <w:rPr>
          <w:b/>
        </w:rPr>
      </w:pPr>
    </w:p>
    <w:p w:rsidR="00202D79" w:rsidRDefault="00202D79" w:rsidP="00333FAA">
      <w:pPr>
        <w:pStyle w:val="Infotext"/>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8"/>
        <w:gridCol w:w="547"/>
        <w:gridCol w:w="4210"/>
      </w:tblGrid>
      <w:tr w:rsidR="00333FAA">
        <w:trPr>
          <w:trHeight w:val="965"/>
        </w:trPr>
        <w:tc>
          <w:tcPr>
            <w:tcW w:w="2210" w:type="pct"/>
            <w:tcBorders>
              <w:right w:val="nil"/>
            </w:tcBorders>
          </w:tcPr>
          <w:p w:rsidR="00333FAA" w:rsidRDefault="00333FAA" w:rsidP="00A53B04">
            <w:pPr>
              <w:pStyle w:val="Infotext"/>
            </w:pPr>
          </w:p>
          <w:p w:rsidR="00333FAA" w:rsidRPr="007C0DC3" w:rsidRDefault="00333FAA" w:rsidP="00A53B04">
            <w:pPr>
              <w:pStyle w:val="Infotext"/>
              <w:rPr>
                <w:rFonts w:ascii="Arial Black" w:hAnsi="Arial Black"/>
              </w:rPr>
            </w:pPr>
            <w:r w:rsidRPr="007C0DC3">
              <w:rPr>
                <w:rFonts w:ascii="Arial Black" w:hAnsi="Arial Black"/>
              </w:rPr>
              <w:t>Call-In Waived by the Chair of Overview and Scrutiny Committee</w:t>
            </w:r>
          </w:p>
          <w:p w:rsidR="00333FAA" w:rsidRDefault="00333FAA" w:rsidP="00A53B04">
            <w:pPr>
              <w:pStyle w:val="Infotext"/>
            </w:pPr>
          </w:p>
          <w:p w:rsidR="00333FAA" w:rsidRDefault="00333FAA" w:rsidP="0088024F">
            <w:pPr>
              <w:pStyle w:val="Infotext"/>
            </w:pPr>
          </w:p>
        </w:tc>
        <w:tc>
          <w:tcPr>
            <w:tcW w:w="321" w:type="pct"/>
            <w:tcBorders>
              <w:left w:val="nil"/>
              <w:right w:val="nil"/>
            </w:tcBorders>
          </w:tcPr>
          <w:p w:rsidR="00333FAA" w:rsidRDefault="00333FAA" w:rsidP="00A53B04">
            <w:pPr>
              <w:pStyle w:val="Infotext"/>
            </w:pPr>
          </w:p>
        </w:tc>
        <w:tc>
          <w:tcPr>
            <w:tcW w:w="2469" w:type="pct"/>
            <w:tcBorders>
              <w:left w:val="nil"/>
            </w:tcBorders>
          </w:tcPr>
          <w:p w:rsidR="00333FAA" w:rsidRDefault="00333FAA" w:rsidP="00A53B04">
            <w:pPr>
              <w:pStyle w:val="Infotext"/>
            </w:pPr>
          </w:p>
          <w:p w:rsidR="00333FAA" w:rsidRDefault="00333FAA" w:rsidP="00A53B04">
            <w:pPr>
              <w:pStyle w:val="Infotext"/>
            </w:pPr>
            <w:r w:rsidRPr="003D78F6">
              <w:rPr>
                <w:b/>
              </w:rPr>
              <w:t xml:space="preserve">NO </w:t>
            </w:r>
          </w:p>
          <w:p w:rsidR="00333FAA" w:rsidRDefault="00333FAA" w:rsidP="00A53B04">
            <w:pPr>
              <w:pStyle w:val="Infotext"/>
            </w:pPr>
          </w:p>
          <w:p w:rsidR="00333FAA" w:rsidRDefault="00333FAA" w:rsidP="00A53B04">
            <w:pPr>
              <w:pStyle w:val="Infotext"/>
            </w:pPr>
          </w:p>
          <w:p w:rsidR="0017653E" w:rsidRPr="0017653E" w:rsidRDefault="0017653E" w:rsidP="0017653E">
            <w:pPr>
              <w:pStyle w:val="Infotext"/>
              <w:ind w:left="173"/>
              <w:rPr>
                <w:rFonts w:cs="Arial"/>
                <w:i/>
                <w:sz w:val="24"/>
                <w:szCs w:val="24"/>
                <w:lang w:eastAsia="en-GB"/>
              </w:rPr>
            </w:pPr>
          </w:p>
        </w:tc>
      </w:tr>
    </w:tbl>
    <w:p w:rsidR="000D4E36" w:rsidRPr="00DE71D3" w:rsidRDefault="000D4E36" w:rsidP="001614E0"/>
    <w:sectPr w:rsidR="000D4E36" w:rsidRPr="00DE71D3" w:rsidSect="001614E0">
      <w:headerReference w:type="default" r:id="rId16"/>
      <w:headerReference w:type="first" r:id="rId17"/>
      <w:footerReference w:type="first" r:id="rId18"/>
      <w:pgSz w:w="11909" w:h="16834" w:code="9"/>
      <w:pgMar w:top="720" w:right="1800" w:bottom="1440" w:left="180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BBE" w:rsidRDefault="00E44BBE">
      <w:r>
        <w:separator/>
      </w:r>
    </w:p>
  </w:endnote>
  <w:endnote w:type="continuationSeparator" w:id="0">
    <w:p w:rsidR="00E44BBE" w:rsidRDefault="00E44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CA2" w:rsidRPr="004F56C5" w:rsidRDefault="00F41CA2" w:rsidP="004F56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BBE" w:rsidRDefault="00E44BBE">
      <w:r>
        <w:separator/>
      </w:r>
    </w:p>
  </w:footnote>
  <w:footnote w:type="continuationSeparator" w:id="0">
    <w:p w:rsidR="00E44BBE" w:rsidRDefault="00E44B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CA2" w:rsidRDefault="00F41C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CA2" w:rsidRDefault="00F41C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94D96"/>
    <w:multiLevelType w:val="hybridMultilevel"/>
    <w:tmpl w:val="23C0F1E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DE260B"/>
    <w:multiLevelType w:val="hybridMultilevel"/>
    <w:tmpl w:val="750CC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161218"/>
    <w:multiLevelType w:val="hybridMultilevel"/>
    <w:tmpl w:val="0F5EEB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D533CD"/>
    <w:multiLevelType w:val="hybridMultilevel"/>
    <w:tmpl w:val="EC7609FC"/>
    <w:lvl w:ilvl="0" w:tplc="0809000F">
      <w:start w:val="1"/>
      <w:numFmt w:val="decimal"/>
      <w:lvlText w:val="%1."/>
      <w:lvlJc w:val="left"/>
      <w:pPr>
        <w:ind w:left="786"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6CD7165"/>
    <w:multiLevelType w:val="hybridMultilevel"/>
    <w:tmpl w:val="B37E7CEA"/>
    <w:lvl w:ilvl="0" w:tplc="29203C72">
      <w:start w:val="1"/>
      <w:numFmt w:val="lowerLetter"/>
      <w:lvlText w:val="%1."/>
      <w:lvlJc w:val="left"/>
      <w:pPr>
        <w:tabs>
          <w:tab w:val="num" w:pos="720"/>
        </w:tabs>
        <w:ind w:left="720" w:hanging="720"/>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A612673"/>
    <w:multiLevelType w:val="hybridMultilevel"/>
    <w:tmpl w:val="82AA545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C575B0E"/>
    <w:multiLevelType w:val="hybridMultilevel"/>
    <w:tmpl w:val="DC2C2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FBA5D4B"/>
    <w:multiLevelType w:val="hybridMultilevel"/>
    <w:tmpl w:val="7CFAF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4F21979"/>
    <w:multiLevelType w:val="hybridMultilevel"/>
    <w:tmpl w:val="B38EF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8A62B2D"/>
    <w:multiLevelType w:val="multilevel"/>
    <w:tmpl w:val="2A58D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A153590"/>
    <w:multiLevelType w:val="hybridMultilevel"/>
    <w:tmpl w:val="4C40C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BFC2A4B"/>
    <w:multiLevelType w:val="hybridMultilevel"/>
    <w:tmpl w:val="064A82C4"/>
    <w:lvl w:ilvl="0" w:tplc="9D5A189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317F11D3"/>
    <w:multiLevelType w:val="hybridMultilevel"/>
    <w:tmpl w:val="0E6A70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22E4ECC"/>
    <w:multiLevelType w:val="hybridMultilevel"/>
    <w:tmpl w:val="4B86B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252411D"/>
    <w:multiLevelType w:val="hybridMultilevel"/>
    <w:tmpl w:val="95D0F828"/>
    <w:lvl w:ilvl="0" w:tplc="0809000F">
      <w:start w:val="1"/>
      <w:numFmt w:val="decimal"/>
      <w:lvlText w:val="%1."/>
      <w:lvlJc w:val="left"/>
      <w:pPr>
        <w:ind w:left="720" w:hanging="360"/>
      </w:pPr>
    </w:lvl>
    <w:lvl w:ilvl="1" w:tplc="D222E47A">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B7E0C31"/>
    <w:multiLevelType w:val="hybridMultilevel"/>
    <w:tmpl w:val="B49068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91562FB"/>
    <w:multiLevelType w:val="hybridMultilevel"/>
    <w:tmpl w:val="B62069A4"/>
    <w:lvl w:ilvl="0" w:tplc="9D5A189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4C1D4359"/>
    <w:multiLevelType w:val="hybridMultilevel"/>
    <w:tmpl w:val="8466ACBA"/>
    <w:lvl w:ilvl="0" w:tplc="B37E6AAA">
      <w:start w:val="1"/>
      <w:numFmt w:val="decimal"/>
      <w:lvlText w:val="%1."/>
      <w:lvlJc w:val="left"/>
      <w:pPr>
        <w:ind w:left="720" w:hanging="360"/>
      </w:pPr>
      <w:rPr>
        <w:rFonts w:cs="Aria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04474EE"/>
    <w:multiLevelType w:val="hybridMultilevel"/>
    <w:tmpl w:val="1EAAB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1C171F9"/>
    <w:multiLevelType w:val="hybridMultilevel"/>
    <w:tmpl w:val="425C22A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D337FD1"/>
    <w:multiLevelType w:val="hybridMultilevel"/>
    <w:tmpl w:val="A27280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79C006DC"/>
    <w:multiLevelType w:val="hybridMultilevel"/>
    <w:tmpl w:val="CFB4B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BD4548A"/>
    <w:multiLevelType w:val="hybridMultilevel"/>
    <w:tmpl w:val="D0946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3"/>
  </w:num>
  <w:num w:numId="4">
    <w:abstractNumId w:val="28"/>
  </w:num>
  <w:num w:numId="5">
    <w:abstractNumId w:val="22"/>
  </w:num>
  <w:num w:numId="6">
    <w:abstractNumId w:val="4"/>
  </w:num>
  <w:num w:numId="7">
    <w:abstractNumId w:val="12"/>
  </w:num>
  <w:num w:numId="8">
    <w:abstractNumId w:val="20"/>
  </w:num>
  <w:num w:numId="9">
    <w:abstractNumId w:val="2"/>
  </w:num>
  <w:num w:numId="10">
    <w:abstractNumId w:val="7"/>
  </w:num>
  <w:num w:numId="11">
    <w:abstractNumId w:val="15"/>
  </w:num>
  <w:num w:numId="12">
    <w:abstractNumId w:val="25"/>
  </w:num>
  <w:num w:numId="13">
    <w:abstractNumId w:val="21"/>
  </w:num>
  <w:num w:numId="14">
    <w:abstractNumId w:val="16"/>
  </w:num>
  <w:num w:numId="15">
    <w:abstractNumId w:val="1"/>
  </w:num>
  <w:num w:numId="16">
    <w:abstractNumId w:val="27"/>
  </w:num>
  <w:num w:numId="17">
    <w:abstractNumId w:val="10"/>
  </w:num>
  <w:num w:numId="18">
    <w:abstractNumId w:val="9"/>
  </w:num>
  <w:num w:numId="19">
    <w:abstractNumId w:val="26"/>
  </w:num>
  <w:num w:numId="20">
    <w:abstractNumId w:val="8"/>
  </w:num>
  <w:num w:numId="21">
    <w:abstractNumId w:val="0"/>
  </w:num>
  <w:num w:numId="22">
    <w:abstractNumId w:val="13"/>
  </w:num>
  <w:num w:numId="23">
    <w:abstractNumId w:val="14"/>
  </w:num>
  <w:num w:numId="24">
    <w:abstractNumId w:val="11"/>
  </w:num>
  <w:num w:numId="25">
    <w:abstractNumId w:val="17"/>
  </w:num>
  <w:num w:numId="26">
    <w:abstractNumId w:val="19"/>
  </w:num>
  <w:num w:numId="27">
    <w:abstractNumId w:val="3"/>
  </w:num>
  <w:num w:numId="28">
    <w:abstractNumId w:val="18"/>
  </w:num>
  <w:num w:numId="29">
    <w:abstractNumId w:val="2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LastOpened" w:val="30/09/2019 13:14"/>
  </w:docVars>
  <w:rsids>
    <w:rsidRoot w:val="00333FAA"/>
    <w:rsid w:val="0000089B"/>
    <w:rsid w:val="000037FD"/>
    <w:rsid w:val="00026E8E"/>
    <w:rsid w:val="00030F7E"/>
    <w:rsid w:val="0004029A"/>
    <w:rsid w:val="000406EC"/>
    <w:rsid w:val="0006034E"/>
    <w:rsid w:val="00063783"/>
    <w:rsid w:val="000672BC"/>
    <w:rsid w:val="00073765"/>
    <w:rsid w:val="000929A6"/>
    <w:rsid w:val="000A29BC"/>
    <w:rsid w:val="000B45A8"/>
    <w:rsid w:val="000B5015"/>
    <w:rsid w:val="000B788F"/>
    <w:rsid w:val="000C2D5F"/>
    <w:rsid w:val="000C39B3"/>
    <w:rsid w:val="000D4E36"/>
    <w:rsid w:val="000E62FE"/>
    <w:rsid w:val="00104C76"/>
    <w:rsid w:val="00115216"/>
    <w:rsid w:val="001161E4"/>
    <w:rsid w:val="001162EA"/>
    <w:rsid w:val="00125A26"/>
    <w:rsid w:val="00145BAE"/>
    <w:rsid w:val="0015376F"/>
    <w:rsid w:val="001614E0"/>
    <w:rsid w:val="00171BD8"/>
    <w:rsid w:val="0017653E"/>
    <w:rsid w:val="00182B01"/>
    <w:rsid w:val="001840D2"/>
    <w:rsid w:val="001966D7"/>
    <w:rsid w:val="001C4D2E"/>
    <w:rsid w:val="001C7E35"/>
    <w:rsid w:val="001E3C06"/>
    <w:rsid w:val="001F0037"/>
    <w:rsid w:val="001F0BE9"/>
    <w:rsid w:val="00202D79"/>
    <w:rsid w:val="00205D2F"/>
    <w:rsid w:val="00215E8F"/>
    <w:rsid w:val="002322BB"/>
    <w:rsid w:val="00233B79"/>
    <w:rsid w:val="002430D5"/>
    <w:rsid w:val="00251254"/>
    <w:rsid w:val="002548D1"/>
    <w:rsid w:val="0027283B"/>
    <w:rsid w:val="0028019B"/>
    <w:rsid w:val="00283CAB"/>
    <w:rsid w:val="00284127"/>
    <w:rsid w:val="002A3FEF"/>
    <w:rsid w:val="002B54A6"/>
    <w:rsid w:val="002C7908"/>
    <w:rsid w:val="002F11BF"/>
    <w:rsid w:val="002F3EE9"/>
    <w:rsid w:val="002F57D1"/>
    <w:rsid w:val="00307F76"/>
    <w:rsid w:val="00321FBB"/>
    <w:rsid w:val="00333FAA"/>
    <w:rsid w:val="003355D7"/>
    <w:rsid w:val="00351F55"/>
    <w:rsid w:val="0036201C"/>
    <w:rsid w:val="00376768"/>
    <w:rsid w:val="0038335E"/>
    <w:rsid w:val="003A4815"/>
    <w:rsid w:val="003B70D0"/>
    <w:rsid w:val="003E48C6"/>
    <w:rsid w:val="003F3AFD"/>
    <w:rsid w:val="004076C8"/>
    <w:rsid w:val="004207E3"/>
    <w:rsid w:val="00421A4C"/>
    <w:rsid w:val="004238C2"/>
    <w:rsid w:val="00425FC5"/>
    <w:rsid w:val="00435B5D"/>
    <w:rsid w:val="004363F7"/>
    <w:rsid w:val="0044525C"/>
    <w:rsid w:val="00446F48"/>
    <w:rsid w:val="004553F1"/>
    <w:rsid w:val="004560E3"/>
    <w:rsid w:val="0046128F"/>
    <w:rsid w:val="004663D2"/>
    <w:rsid w:val="00471C1F"/>
    <w:rsid w:val="004809FA"/>
    <w:rsid w:val="004823DA"/>
    <w:rsid w:val="004C203F"/>
    <w:rsid w:val="004C4A75"/>
    <w:rsid w:val="004C60AA"/>
    <w:rsid w:val="004D2DA0"/>
    <w:rsid w:val="004E14A4"/>
    <w:rsid w:val="004F54BD"/>
    <w:rsid w:val="004F56C5"/>
    <w:rsid w:val="00506F05"/>
    <w:rsid w:val="005354D0"/>
    <w:rsid w:val="0054172C"/>
    <w:rsid w:val="0054590F"/>
    <w:rsid w:val="005459EC"/>
    <w:rsid w:val="005718B5"/>
    <w:rsid w:val="005808FB"/>
    <w:rsid w:val="00582605"/>
    <w:rsid w:val="00591016"/>
    <w:rsid w:val="005B3F67"/>
    <w:rsid w:val="005D548F"/>
    <w:rsid w:val="005D55D1"/>
    <w:rsid w:val="005D6EF5"/>
    <w:rsid w:val="005E3A10"/>
    <w:rsid w:val="005E6E69"/>
    <w:rsid w:val="005E7509"/>
    <w:rsid w:val="00610F06"/>
    <w:rsid w:val="00632863"/>
    <w:rsid w:val="00645B8B"/>
    <w:rsid w:val="00655044"/>
    <w:rsid w:val="00657736"/>
    <w:rsid w:val="00666922"/>
    <w:rsid w:val="00670F17"/>
    <w:rsid w:val="006710C7"/>
    <w:rsid w:val="0067169B"/>
    <w:rsid w:val="0068342E"/>
    <w:rsid w:val="00694335"/>
    <w:rsid w:val="00696A83"/>
    <w:rsid w:val="006C580A"/>
    <w:rsid w:val="006D1E69"/>
    <w:rsid w:val="006E7F94"/>
    <w:rsid w:val="006F057C"/>
    <w:rsid w:val="006F22DA"/>
    <w:rsid w:val="006F2EB3"/>
    <w:rsid w:val="007116B1"/>
    <w:rsid w:val="00714BEE"/>
    <w:rsid w:val="00721215"/>
    <w:rsid w:val="00727389"/>
    <w:rsid w:val="00733C8D"/>
    <w:rsid w:val="007400CF"/>
    <w:rsid w:val="0075041F"/>
    <w:rsid w:val="007B23FC"/>
    <w:rsid w:val="007B24A7"/>
    <w:rsid w:val="007B36EC"/>
    <w:rsid w:val="007C3625"/>
    <w:rsid w:val="007C6BB5"/>
    <w:rsid w:val="007C7316"/>
    <w:rsid w:val="007D0C1D"/>
    <w:rsid w:val="007D4DBF"/>
    <w:rsid w:val="007E4732"/>
    <w:rsid w:val="007E4BA4"/>
    <w:rsid w:val="007F004E"/>
    <w:rsid w:val="007F2F57"/>
    <w:rsid w:val="007F335A"/>
    <w:rsid w:val="00803104"/>
    <w:rsid w:val="00812901"/>
    <w:rsid w:val="00826B9A"/>
    <w:rsid w:val="0085266D"/>
    <w:rsid w:val="0088024F"/>
    <w:rsid w:val="0089315C"/>
    <w:rsid w:val="008A5AA0"/>
    <w:rsid w:val="008A6447"/>
    <w:rsid w:val="008E224D"/>
    <w:rsid w:val="0092530B"/>
    <w:rsid w:val="0094208C"/>
    <w:rsid w:val="00942F17"/>
    <w:rsid w:val="00952CEF"/>
    <w:rsid w:val="00955421"/>
    <w:rsid w:val="009806EF"/>
    <w:rsid w:val="00990E9C"/>
    <w:rsid w:val="00994542"/>
    <w:rsid w:val="00994908"/>
    <w:rsid w:val="009A1038"/>
    <w:rsid w:val="009B160B"/>
    <w:rsid w:val="009B351C"/>
    <w:rsid w:val="009C237B"/>
    <w:rsid w:val="009E5A93"/>
    <w:rsid w:val="009F5D56"/>
    <w:rsid w:val="00A1140D"/>
    <w:rsid w:val="00A151FD"/>
    <w:rsid w:val="00A20113"/>
    <w:rsid w:val="00A20D78"/>
    <w:rsid w:val="00A2215F"/>
    <w:rsid w:val="00A22839"/>
    <w:rsid w:val="00A23E19"/>
    <w:rsid w:val="00A247E4"/>
    <w:rsid w:val="00A33185"/>
    <w:rsid w:val="00A33188"/>
    <w:rsid w:val="00A53B04"/>
    <w:rsid w:val="00A661F4"/>
    <w:rsid w:val="00A7271A"/>
    <w:rsid w:val="00A81E19"/>
    <w:rsid w:val="00AB795F"/>
    <w:rsid w:val="00AC6312"/>
    <w:rsid w:val="00AD6D80"/>
    <w:rsid w:val="00B027EB"/>
    <w:rsid w:val="00B1160D"/>
    <w:rsid w:val="00B31228"/>
    <w:rsid w:val="00B444E6"/>
    <w:rsid w:val="00B52011"/>
    <w:rsid w:val="00B53EFF"/>
    <w:rsid w:val="00B54AFA"/>
    <w:rsid w:val="00B671A4"/>
    <w:rsid w:val="00B766FF"/>
    <w:rsid w:val="00B804E8"/>
    <w:rsid w:val="00BC206C"/>
    <w:rsid w:val="00BC431A"/>
    <w:rsid w:val="00BD48F9"/>
    <w:rsid w:val="00C01A35"/>
    <w:rsid w:val="00C03772"/>
    <w:rsid w:val="00C04EDA"/>
    <w:rsid w:val="00C119A2"/>
    <w:rsid w:val="00C26B23"/>
    <w:rsid w:val="00C36B9F"/>
    <w:rsid w:val="00C439AE"/>
    <w:rsid w:val="00C52644"/>
    <w:rsid w:val="00C57267"/>
    <w:rsid w:val="00C577EF"/>
    <w:rsid w:val="00C62B63"/>
    <w:rsid w:val="00C72B5B"/>
    <w:rsid w:val="00CC590F"/>
    <w:rsid w:val="00CD7D5D"/>
    <w:rsid w:val="00CF0FC4"/>
    <w:rsid w:val="00CF6932"/>
    <w:rsid w:val="00D008C3"/>
    <w:rsid w:val="00D01FE3"/>
    <w:rsid w:val="00D0459A"/>
    <w:rsid w:val="00D06CA3"/>
    <w:rsid w:val="00D07F46"/>
    <w:rsid w:val="00D15639"/>
    <w:rsid w:val="00D170E5"/>
    <w:rsid w:val="00D30468"/>
    <w:rsid w:val="00D37F2F"/>
    <w:rsid w:val="00D415B9"/>
    <w:rsid w:val="00D51A87"/>
    <w:rsid w:val="00D528E8"/>
    <w:rsid w:val="00D771D0"/>
    <w:rsid w:val="00D835CF"/>
    <w:rsid w:val="00DA26FB"/>
    <w:rsid w:val="00DB6C3D"/>
    <w:rsid w:val="00DC3571"/>
    <w:rsid w:val="00DC5ACF"/>
    <w:rsid w:val="00DD7468"/>
    <w:rsid w:val="00DE25E9"/>
    <w:rsid w:val="00DE71D3"/>
    <w:rsid w:val="00DE72CF"/>
    <w:rsid w:val="00DE7D82"/>
    <w:rsid w:val="00DF08A0"/>
    <w:rsid w:val="00E06B9E"/>
    <w:rsid w:val="00E2451D"/>
    <w:rsid w:val="00E2727F"/>
    <w:rsid w:val="00E30417"/>
    <w:rsid w:val="00E44BBE"/>
    <w:rsid w:val="00E5532F"/>
    <w:rsid w:val="00E65DE5"/>
    <w:rsid w:val="00E70760"/>
    <w:rsid w:val="00E9253C"/>
    <w:rsid w:val="00EA70BB"/>
    <w:rsid w:val="00EB45B5"/>
    <w:rsid w:val="00EB5E57"/>
    <w:rsid w:val="00EB61DB"/>
    <w:rsid w:val="00ED4AFD"/>
    <w:rsid w:val="00EE4FBE"/>
    <w:rsid w:val="00EF21B2"/>
    <w:rsid w:val="00F34EA5"/>
    <w:rsid w:val="00F41CA2"/>
    <w:rsid w:val="00F42ECB"/>
    <w:rsid w:val="00F5649A"/>
    <w:rsid w:val="00F67DC5"/>
    <w:rsid w:val="00F82342"/>
    <w:rsid w:val="00F877DB"/>
    <w:rsid w:val="00F91AE4"/>
    <w:rsid w:val="00F93C8B"/>
    <w:rsid w:val="00F959DD"/>
    <w:rsid w:val="00F960D5"/>
    <w:rsid w:val="00FA0D57"/>
    <w:rsid w:val="00FA22DF"/>
    <w:rsid w:val="00FB1231"/>
    <w:rsid w:val="00FC1265"/>
    <w:rsid w:val="00FC1C5C"/>
    <w:rsid w:val="00FD2285"/>
    <w:rsid w:val="00FD7B6F"/>
    <w:rsid w:val="00FE17E2"/>
    <w:rsid w:val="00FF6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link w:val="Heading1Char"/>
    <w:qFormat/>
    <w:rsid w:val="00333FAA"/>
    <w:pPr>
      <w:outlineLvl w:val="0"/>
    </w:pPr>
    <w:rPr>
      <w:rFonts w:ascii="Arial Black" w:hAnsi="Arial Black"/>
      <w:b w:val="0"/>
      <w:sz w:val="32"/>
    </w:rPr>
  </w:style>
  <w:style w:type="paragraph" w:styleId="Heading2">
    <w:name w:val="heading 2"/>
    <w:basedOn w:val="Normal"/>
    <w:next w:val="Normal"/>
    <w:link w:val="Heading2Char"/>
    <w:qFormat/>
    <w:rsid w:val="00333FAA"/>
    <w:pPr>
      <w:outlineLvl w:val="1"/>
    </w:pPr>
    <w:rPr>
      <w:rFonts w:cs="Arial"/>
      <w:b/>
      <w:bCs/>
      <w:sz w:val="28"/>
      <w:szCs w:val="32"/>
    </w:rPr>
  </w:style>
  <w:style w:type="paragraph" w:styleId="Heading3">
    <w:name w:val="heading 3"/>
    <w:basedOn w:val="Normal"/>
    <w:next w:val="Normal"/>
    <w:qFormat/>
    <w:rsid w:val="00333FAA"/>
    <w:pPr>
      <w:ind w:left="720" w:hanging="720"/>
      <w:jc w:val="both"/>
      <w:outlineLvl w:val="2"/>
    </w:pPr>
    <w:rPr>
      <w:rFonts w:cs="Arial"/>
      <w:b/>
      <w:bCs/>
      <w:i/>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uiPriority w:val="34"/>
    <w:qFormat/>
    <w:rsid w:val="00E70760"/>
    <w:pPr>
      <w:ind w:left="720"/>
    </w:pPr>
  </w:style>
  <w:style w:type="character" w:styleId="FollowedHyperlink">
    <w:name w:val="FollowedHyperlink"/>
    <w:rsid w:val="00C03772"/>
    <w:rPr>
      <w:color w:val="800080"/>
      <w:u w:val="single"/>
    </w:rPr>
  </w:style>
  <w:style w:type="paragraph" w:customStyle="1" w:styleId="CharCharCharChar0">
    <w:name w:val="Char Char Char Char"/>
    <w:basedOn w:val="Normal"/>
    <w:locked/>
    <w:rsid w:val="00632863"/>
    <w:pPr>
      <w:spacing w:after="160" w:line="240" w:lineRule="exact"/>
    </w:pPr>
    <w:rPr>
      <w:rFonts w:ascii="Verdana" w:hAnsi="Verdana"/>
      <w:sz w:val="20"/>
      <w:lang w:val="en-US"/>
    </w:rPr>
  </w:style>
  <w:style w:type="character" w:customStyle="1" w:styleId="Heading1Char">
    <w:name w:val="Heading 1 Char"/>
    <w:link w:val="Heading1"/>
    <w:rsid w:val="00284127"/>
    <w:rPr>
      <w:rFonts w:ascii="Arial Black" w:hAnsi="Arial Black" w:cs="Arial"/>
      <w:bCs/>
      <w:sz w:val="32"/>
      <w:szCs w:val="32"/>
      <w:lang w:eastAsia="en-US"/>
    </w:rPr>
  </w:style>
  <w:style w:type="table" w:customStyle="1" w:styleId="TableGrid1">
    <w:name w:val="Table Grid1"/>
    <w:basedOn w:val="TableNormal"/>
    <w:next w:val="TableGrid"/>
    <w:uiPriority w:val="59"/>
    <w:rsid w:val="00A3318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46128F"/>
    <w:rPr>
      <w:sz w:val="16"/>
      <w:szCs w:val="16"/>
    </w:rPr>
  </w:style>
  <w:style w:type="paragraph" w:styleId="CommentText">
    <w:name w:val="annotation text"/>
    <w:basedOn w:val="Normal"/>
    <w:link w:val="CommentTextChar"/>
    <w:semiHidden/>
    <w:unhideWhenUsed/>
    <w:rsid w:val="0046128F"/>
    <w:rPr>
      <w:sz w:val="20"/>
    </w:rPr>
  </w:style>
  <w:style w:type="character" w:customStyle="1" w:styleId="CommentTextChar">
    <w:name w:val="Comment Text Char"/>
    <w:basedOn w:val="DefaultParagraphFont"/>
    <w:link w:val="CommentText"/>
    <w:semiHidden/>
    <w:rsid w:val="0046128F"/>
    <w:rPr>
      <w:rFonts w:ascii="Arial" w:hAnsi="Arial"/>
      <w:lang w:eastAsia="en-US"/>
    </w:rPr>
  </w:style>
  <w:style w:type="paragraph" w:styleId="CommentSubject">
    <w:name w:val="annotation subject"/>
    <w:basedOn w:val="CommentText"/>
    <w:next w:val="CommentText"/>
    <w:link w:val="CommentSubjectChar"/>
    <w:semiHidden/>
    <w:unhideWhenUsed/>
    <w:rsid w:val="0046128F"/>
    <w:rPr>
      <w:b/>
      <w:bCs/>
    </w:rPr>
  </w:style>
  <w:style w:type="character" w:customStyle="1" w:styleId="CommentSubjectChar">
    <w:name w:val="Comment Subject Char"/>
    <w:basedOn w:val="CommentTextChar"/>
    <w:link w:val="CommentSubject"/>
    <w:semiHidden/>
    <w:rsid w:val="0046128F"/>
    <w:rPr>
      <w:rFonts w:ascii="Arial" w:hAnsi="Arial"/>
      <w:b/>
      <w:bCs/>
      <w:lang w:eastAsia="en-US"/>
    </w:rPr>
  </w:style>
  <w:style w:type="paragraph" w:styleId="BalloonText">
    <w:name w:val="Balloon Text"/>
    <w:basedOn w:val="Normal"/>
    <w:link w:val="BalloonTextChar"/>
    <w:semiHidden/>
    <w:unhideWhenUsed/>
    <w:rsid w:val="0046128F"/>
    <w:rPr>
      <w:rFonts w:ascii="Tahoma" w:hAnsi="Tahoma" w:cs="Tahoma"/>
      <w:sz w:val="16"/>
      <w:szCs w:val="16"/>
    </w:rPr>
  </w:style>
  <w:style w:type="character" w:customStyle="1" w:styleId="BalloonTextChar">
    <w:name w:val="Balloon Text Char"/>
    <w:basedOn w:val="DefaultParagraphFont"/>
    <w:link w:val="BalloonText"/>
    <w:semiHidden/>
    <w:rsid w:val="0046128F"/>
    <w:rPr>
      <w:rFonts w:ascii="Tahoma" w:hAnsi="Tahoma" w:cs="Tahoma"/>
      <w:sz w:val="16"/>
      <w:szCs w:val="16"/>
      <w:lang w:eastAsia="en-US"/>
    </w:rPr>
  </w:style>
  <w:style w:type="character" w:customStyle="1" w:styleId="Heading2Char">
    <w:name w:val="Heading 2 Char"/>
    <w:basedOn w:val="DefaultParagraphFont"/>
    <w:link w:val="Heading2"/>
    <w:rsid w:val="00D51A87"/>
    <w:rPr>
      <w:rFonts w:ascii="Arial" w:hAnsi="Arial" w:cs="Arial"/>
      <w:b/>
      <w:bCs/>
      <w:sz w:val="28"/>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link w:val="Heading1Char"/>
    <w:qFormat/>
    <w:rsid w:val="00333FAA"/>
    <w:pPr>
      <w:outlineLvl w:val="0"/>
    </w:pPr>
    <w:rPr>
      <w:rFonts w:ascii="Arial Black" w:hAnsi="Arial Black"/>
      <w:b w:val="0"/>
      <w:sz w:val="32"/>
    </w:rPr>
  </w:style>
  <w:style w:type="paragraph" w:styleId="Heading2">
    <w:name w:val="heading 2"/>
    <w:basedOn w:val="Normal"/>
    <w:next w:val="Normal"/>
    <w:link w:val="Heading2Char"/>
    <w:qFormat/>
    <w:rsid w:val="00333FAA"/>
    <w:pPr>
      <w:outlineLvl w:val="1"/>
    </w:pPr>
    <w:rPr>
      <w:rFonts w:cs="Arial"/>
      <w:b/>
      <w:bCs/>
      <w:sz w:val="28"/>
      <w:szCs w:val="32"/>
    </w:rPr>
  </w:style>
  <w:style w:type="paragraph" w:styleId="Heading3">
    <w:name w:val="heading 3"/>
    <w:basedOn w:val="Normal"/>
    <w:next w:val="Normal"/>
    <w:qFormat/>
    <w:rsid w:val="00333FAA"/>
    <w:pPr>
      <w:ind w:left="720" w:hanging="720"/>
      <w:jc w:val="both"/>
      <w:outlineLvl w:val="2"/>
    </w:pPr>
    <w:rPr>
      <w:rFonts w:cs="Arial"/>
      <w:b/>
      <w:bCs/>
      <w:i/>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uiPriority w:val="34"/>
    <w:qFormat/>
    <w:rsid w:val="00E70760"/>
    <w:pPr>
      <w:ind w:left="720"/>
    </w:pPr>
  </w:style>
  <w:style w:type="character" w:styleId="FollowedHyperlink">
    <w:name w:val="FollowedHyperlink"/>
    <w:rsid w:val="00C03772"/>
    <w:rPr>
      <w:color w:val="800080"/>
      <w:u w:val="single"/>
    </w:rPr>
  </w:style>
  <w:style w:type="paragraph" w:customStyle="1" w:styleId="CharCharCharChar0">
    <w:name w:val="Char Char Char Char"/>
    <w:basedOn w:val="Normal"/>
    <w:locked/>
    <w:rsid w:val="00632863"/>
    <w:pPr>
      <w:spacing w:after="160" w:line="240" w:lineRule="exact"/>
    </w:pPr>
    <w:rPr>
      <w:rFonts w:ascii="Verdana" w:hAnsi="Verdana"/>
      <w:sz w:val="20"/>
      <w:lang w:val="en-US"/>
    </w:rPr>
  </w:style>
  <w:style w:type="character" w:customStyle="1" w:styleId="Heading1Char">
    <w:name w:val="Heading 1 Char"/>
    <w:link w:val="Heading1"/>
    <w:rsid w:val="00284127"/>
    <w:rPr>
      <w:rFonts w:ascii="Arial Black" w:hAnsi="Arial Black" w:cs="Arial"/>
      <w:bCs/>
      <w:sz w:val="32"/>
      <w:szCs w:val="32"/>
      <w:lang w:eastAsia="en-US"/>
    </w:rPr>
  </w:style>
  <w:style w:type="table" w:customStyle="1" w:styleId="TableGrid1">
    <w:name w:val="Table Grid1"/>
    <w:basedOn w:val="TableNormal"/>
    <w:next w:val="TableGrid"/>
    <w:uiPriority w:val="59"/>
    <w:rsid w:val="00A3318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46128F"/>
    <w:rPr>
      <w:sz w:val="16"/>
      <w:szCs w:val="16"/>
    </w:rPr>
  </w:style>
  <w:style w:type="paragraph" w:styleId="CommentText">
    <w:name w:val="annotation text"/>
    <w:basedOn w:val="Normal"/>
    <w:link w:val="CommentTextChar"/>
    <w:semiHidden/>
    <w:unhideWhenUsed/>
    <w:rsid w:val="0046128F"/>
    <w:rPr>
      <w:sz w:val="20"/>
    </w:rPr>
  </w:style>
  <w:style w:type="character" w:customStyle="1" w:styleId="CommentTextChar">
    <w:name w:val="Comment Text Char"/>
    <w:basedOn w:val="DefaultParagraphFont"/>
    <w:link w:val="CommentText"/>
    <w:semiHidden/>
    <w:rsid w:val="0046128F"/>
    <w:rPr>
      <w:rFonts w:ascii="Arial" w:hAnsi="Arial"/>
      <w:lang w:eastAsia="en-US"/>
    </w:rPr>
  </w:style>
  <w:style w:type="paragraph" w:styleId="CommentSubject">
    <w:name w:val="annotation subject"/>
    <w:basedOn w:val="CommentText"/>
    <w:next w:val="CommentText"/>
    <w:link w:val="CommentSubjectChar"/>
    <w:semiHidden/>
    <w:unhideWhenUsed/>
    <w:rsid w:val="0046128F"/>
    <w:rPr>
      <w:b/>
      <w:bCs/>
    </w:rPr>
  </w:style>
  <w:style w:type="character" w:customStyle="1" w:styleId="CommentSubjectChar">
    <w:name w:val="Comment Subject Char"/>
    <w:basedOn w:val="CommentTextChar"/>
    <w:link w:val="CommentSubject"/>
    <w:semiHidden/>
    <w:rsid w:val="0046128F"/>
    <w:rPr>
      <w:rFonts w:ascii="Arial" w:hAnsi="Arial"/>
      <w:b/>
      <w:bCs/>
      <w:lang w:eastAsia="en-US"/>
    </w:rPr>
  </w:style>
  <w:style w:type="paragraph" w:styleId="BalloonText">
    <w:name w:val="Balloon Text"/>
    <w:basedOn w:val="Normal"/>
    <w:link w:val="BalloonTextChar"/>
    <w:semiHidden/>
    <w:unhideWhenUsed/>
    <w:rsid w:val="0046128F"/>
    <w:rPr>
      <w:rFonts w:ascii="Tahoma" w:hAnsi="Tahoma" w:cs="Tahoma"/>
      <w:sz w:val="16"/>
      <w:szCs w:val="16"/>
    </w:rPr>
  </w:style>
  <w:style w:type="character" w:customStyle="1" w:styleId="BalloonTextChar">
    <w:name w:val="Balloon Text Char"/>
    <w:basedOn w:val="DefaultParagraphFont"/>
    <w:link w:val="BalloonText"/>
    <w:semiHidden/>
    <w:rsid w:val="0046128F"/>
    <w:rPr>
      <w:rFonts w:ascii="Tahoma" w:hAnsi="Tahoma" w:cs="Tahoma"/>
      <w:sz w:val="16"/>
      <w:szCs w:val="16"/>
      <w:lang w:eastAsia="en-US"/>
    </w:rPr>
  </w:style>
  <w:style w:type="character" w:customStyle="1" w:styleId="Heading2Char">
    <w:name w:val="Heading 2 Char"/>
    <w:basedOn w:val="DefaultParagraphFont"/>
    <w:link w:val="Heading2"/>
    <w:rsid w:val="00D51A87"/>
    <w:rPr>
      <w:rFonts w:ascii="Arial" w:hAnsi="Arial" w:cs="Arial"/>
      <w:b/>
      <w:bCs/>
      <w:sz w:val="28"/>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184488763">
      <w:bodyDiv w:val="1"/>
      <w:marLeft w:val="0"/>
      <w:marRight w:val="0"/>
      <w:marTop w:val="0"/>
      <w:marBottom w:val="0"/>
      <w:divBdr>
        <w:top w:val="none" w:sz="0" w:space="0" w:color="auto"/>
        <w:left w:val="none" w:sz="0" w:space="0" w:color="auto"/>
        <w:bottom w:val="none" w:sz="0" w:space="0" w:color="auto"/>
        <w:right w:val="none" w:sz="0" w:space="0" w:color="auto"/>
      </w:divBdr>
      <w:divsChild>
        <w:div w:id="1926962992">
          <w:marLeft w:val="0"/>
          <w:marRight w:val="0"/>
          <w:marTop w:val="0"/>
          <w:marBottom w:val="0"/>
          <w:divBdr>
            <w:top w:val="none" w:sz="0" w:space="0" w:color="auto"/>
            <w:left w:val="none" w:sz="0" w:space="0" w:color="auto"/>
            <w:bottom w:val="none" w:sz="0" w:space="0" w:color="auto"/>
            <w:right w:val="none" w:sz="0" w:space="0" w:color="auto"/>
          </w:divBdr>
          <w:divsChild>
            <w:div w:id="1030300654">
              <w:marLeft w:val="-225"/>
              <w:marRight w:val="-225"/>
              <w:marTop w:val="0"/>
              <w:marBottom w:val="0"/>
              <w:divBdr>
                <w:top w:val="none" w:sz="0" w:space="0" w:color="auto"/>
                <w:left w:val="none" w:sz="0" w:space="0" w:color="auto"/>
                <w:bottom w:val="none" w:sz="0" w:space="0" w:color="auto"/>
                <w:right w:val="none" w:sz="0" w:space="0" w:color="auto"/>
              </w:divBdr>
              <w:divsChild>
                <w:div w:id="100061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22598">
      <w:bodyDiv w:val="1"/>
      <w:marLeft w:val="0"/>
      <w:marRight w:val="0"/>
      <w:marTop w:val="0"/>
      <w:marBottom w:val="0"/>
      <w:divBdr>
        <w:top w:val="none" w:sz="0" w:space="0" w:color="auto"/>
        <w:left w:val="none" w:sz="0" w:space="0" w:color="auto"/>
        <w:bottom w:val="none" w:sz="0" w:space="0" w:color="auto"/>
        <w:right w:val="none" w:sz="0" w:space="0" w:color="auto"/>
      </w:divBdr>
      <w:divsChild>
        <w:div w:id="1505780019">
          <w:marLeft w:val="0"/>
          <w:marRight w:val="0"/>
          <w:marTop w:val="0"/>
          <w:marBottom w:val="0"/>
          <w:divBdr>
            <w:top w:val="none" w:sz="0" w:space="0" w:color="auto"/>
            <w:left w:val="none" w:sz="0" w:space="0" w:color="auto"/>
            <w:bottom w:val="none" w:sz="0" w:space="0" w:color="auto"/>
            <w:right w:val="none" w:sz="0" w:space="0" w:color="auto"/>
          </w:divBdr>
          <w:divsChild>
            <w:div w:id="2082486085">
              <w:marLeft w:val="-225"/>
              <w:marRight w:val="-225"/>
              <w:marTop w:val="0"/>
              <w:marBottom w:val="0"/>
              <w:divBdr>
                <w:top w:val="none" w:sz="0" w:space="0" w:color="auto"/>
                <w:left w:val="none" w:sz="0" w:space="0" w:color="auto"/>
                <w:bottom w:val="none" w:sz="0" w:space="0" w:color="auto"/>
                <w:right w:val="none" w:sz="0" w:space="0" w:color="auto"/>
              </w:divBdr>
              <w:divsChild>
                <w:div w:id="142372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 w:id="1364283614">
      <w:bodyDiv w:val="1"/>
      <w:marLeft w:val="0"/>
      <w:marRight w:val="0"/>
      <w:marTop w:val="0"/>
      <w:marBottom w:val="0"/>
      <w:divBdr>
        <w:top w:val="none" w:sz="0" w:space="0" w:color="auto"/>
        <w:left w:val="none" w:sz="0" w:space="0" w:color="auto"/>
        <w:bottom w:val="none" w:sz="0" w:space="0" w:color="auto"/>
        <w:right w:val="none" w:sz="0" w:space="0" w:color="auto"/>
      </w:divBdr>
    </w:div>
    <w:div w:id="1968925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www.gov.uk/government/statistics/eu-settlement-scheme-quarterly-statistics-december-2019" TargetMode="Externa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48e9339-ef40-4192-ab59-a15ba5582753">
      <Value>47</Value>
    </TaxCatchAll>
    <TaxKeywordTaxHTField xmlns="e48e9339-ef40-4192-ab59-a15ba5582753">
      <Terms xmlns="http://schemas.microsoft.com/office/infopath/2007/PartnerControls">
        <TermInfo xmlns="http://schemas.microsoft.com/office/infopath/2007/PartnerControls">
          <TermName xmlns="http://schemas.microsoft.com/office/infopath/2007/PartnerControls">Cabinet Report Template</TermName>
          <TermId xmlns="http://schemas.microsoft.com/office/infopath/2007/PartnerControls">b79b58f4-03f4-47dd-bec7-7bae4bc4af23</TermId>
        </TermInfo>
      </Terms>
    </TaxKeywordTaxHTField>
    <HarrowProtectiveMarking xmlns="e48e9339-ef40-4192-ab59-a15ba5582753">OFFICIAL-SENSITIVE</HarrowProtectiveMarking>
    <HarrowDescription xmlns="e48e9339-ef40-4192-ab59-a15ba558275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Project Document" ma:contentTypeID="0x0101000226E4B75CFA47B488D2CEFE4DCFDD6410001435E547B067A44AB354B0A4B1D779F5" ma:contentTypeVersion="11" ma:contentTypeDescription="" ma:contentTypeScope="" ma:versionID="2c55d51f733c22a18e06963b55604c01">
  <xsd:schema xmlns:xsd="http://www.w3.org/2001/XMLSchema" xmlns:xs="http://www.w3.org/2001/XMLSchema" xmlns:p="http://schemas.microsoft.com/office/2006/metadata/properties" xmlns:ns2="e48e9339-ef40-4192-ab59-a15ba5582753" targetNamespace="http://schemas.microsoft.com/office/2006/metadata/properties" ma:root="true" ma:fieldsID="455b5356dc8f76a3dd1caff4c219e38b" ns2:_="">
    <xsd:import namespace="e48e9339-ef40-4192-ab59-a15ba5582753"/>
    <xsd:element name="properties">
      <xsd:complexType>
        <xsd:sequence>
          <xsd:element name="documentManagement">
            <xsd:complexType>
              <xsd:all>
                <xsd:element ref="ns2:HarrowDescription" minOccurs="0"/>
                <xsd:element ref="ns2:HarrowProtectiveMarking"/>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8e9339-ef40-4192-ab59-a15ba5582753" elementFormDefault="qualified">
    <xsd:import namespace="http://schemas.microsoft.com/office/2006/documentManagement/types"/>
    <xsd:import namespace="http://schemas.microsoft.com/office/infopath/2007/PartnerControls"/>
    <xsd:element name="HarrowDescription" ma:index="8" nillable="true" ma:displayName="Description" ma:description="A brief description of the document contents." ma:internalName="HarrowDescription" ma:readOnly="false">
      <xsd:simpleType>
        <xsd:restriction base="dms:Note">
          <xsd:maxLength value="255"/>
        </xsd:restriction>
      </xsd:simpleType>
    </xsd:element>
    <xsd:element name="HarrowProtectiveMarking" ma:index="9" ma:displayName="Protective Marking" ma:description="Indicates the sensitivity of the content (using the rules defined by Home Office)." ma:format="Dropdown" ma:internalName="HarrowProtectiveMarking" ma:readOnly="false">
      <xsd:simpleType>
        <xsd:restriction base="dms:Choice">
          <xsd:enumeration value="PUBLIC"/>
          <xsd:enumeration value="OFFICIAL"/>
          <xsd:enumeration value="OFFICIAL-SENSITIVE"/>
        </xsd:restriction>
      </xsd:simpleType>
    </xsd:element>
    <xsd:element name="TaxKeywordTaxHTField" ma:index="10" nillable="true" ma:taxonomy="true" ma:internalName="TaxKeywordTaxHTField" ma:taxonomyFieldName="TaxKeyword" ma:displayName="Enterprise Keywords" ma:fieldId="{23f27201-bee3-471e-b2e7-b64fd8b7ca38}" ma:taxonomyMulti="true" ma:sspId="b11bda97-64e7-4000-91fd-dcaad77bf85d"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hidden="true" ma:list="{003bf0f9-b1de-46ac-9c25-91d80980bbf4}" ma:internalName="TaxCatchAll" ma:showField="CatchAllData" ma:web="e147660f-5117-486a-958d-94f785b124f6">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003bf0f9-b1de-46ac-9c25-91d80980bbf4}" ma:internalName="TaxCatchAllLabel" ma:readOnly="true" ma:showField="CatchAllDataLabel" ma:web="e147660f-5117-486a-958d-94f785b124f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b11bda97-64e7-4000-91fd-dcaad77bf85d" ContentTypeId="0x0101000226E4B75CFA47B488D2CEFE4DCFDD6410"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1B39E-4BD6-4D34-B83E-79D5CD4DA147}">
  <ds:schemaRefs>
    <ds:schemaRef ds:uri="http://purl.org/dc/dcmitype/"/>
    <ds:schemaRef ds:uri="http://schemas.microsoft.com/office/2006/documentManagement/types"/>
    <ds:schemaRef ds:uri="http://www.w3.org/XML/1998/namespace"/>
    <ds:schemaRef ds:uri="http://schemas.microsoft.com/office/2006/metadata/properties"/>
    <ds:schemaRef ds:uri="e48e9339-ef40-4192-ab59-a15ba5582753"/>
    <ds:schemaRef ds:uri="http://purl.org/dc/elements/1.1/"/>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3A3DFE78-188E-483D-81C7-D36779A848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8e9339-ef40-4192-ab59-a15ba55827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8CF9CC-9A14-4DCC-8F1B-7F713444D0E5}">
  <ds:schemaRefs>
    <ds:schemaRef ds:uri="Microsoft.SharePoint.Taxonomy.ContentTypeSync"/>
  </ds:schemaRefs>
</ds:datastoreItem>
</file>

<file path=customXml/itemProps4.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5.xml><?xml version="1.0" encoding="utf-8"?>
<ds:datastoreItem xmlns:ds="http://schemas.openxmlformats.org/officeDocument/2006/customXml" ds:itemID="{B6642009-1DAA-4CD4-ACA7-9D4325563675}">
  <ds:schemaRefs>
    <ds:schemaRef ds:uri="http://schemas.microsoft.com/office/2006/metadata/longProperties"/>
  </ds:schemaRefs>
</ds:datastoreItem>
</file>

<file path=customXml/itemProps6.xml><?xml version="1.0" encoding="utf-8"?>
<ds:datastoreItem xmlns:ds="http://schemas.openxmlformats.org/officeDocument/2006/customXml" ds:itemID="{ADE0B27E-F17F-4F7C-8E14-E2E99D3F1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3719</Words>
  <Characters>19273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Cabinet Report Template March 2018</vt:lpstr>
    </vt:vector>
  </TitlesOfParts>
  <Company>Harrow Council</Company>
  <LinksUpToDate>false</LinksUpToDate>
  <CharactersWithSpaces>22947</CharactersWithSpaces>
  <SharedDoc>false</SharedDoc>
  <HLinks>
    <vt:vector size="30" baseType="variant">
      <vt:variant>
        <vt:i4>3211339</vt:i4>
      </vt:variant>
      <vt:variant>
        <vt:i4>12</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9</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6</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creator>DGhelani</dc:creator>
  <cp:keywords>Cabinet Report Template</cp:keywords>
  <cp:lastModifiedBy>NNikolov</cp:lastModifiedBy>
  <cp:revision>7</cp:revision>
  <cp:lastPrinted>2020-02-11T11:12:00Z</cp:lastPrinted>
  <dcterms:created xsi:type="dcterms:W3CDTF">2020-03-10T11:08:00Z</dcterms:created>
  <dcterms:modified xsi:type="dcterms:W3CDTF">2020-03-11T14:20:00Z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0x0101000226E4B75CFA47B488D2CEFE4DCFDD6410001435E547B067A44AB354B0A4B1D779F5</vt:lpwstr>
  </property>
  <property fmtid="{D5CDD505-2E9C-101B-9397-08002B2CF9AE}" pid="3" name="TaxKeyword">
    <vt:lpwstr>47;#Cabinet Report Template|b79b58f4-03f4-47dd-bec7-7bae4bc4af23</vt:lpwstr>
  </property>
</Properties>
</file>